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4A2E" w:val="clear"/>
            <w:tcMar>
              <w:top w:type="dxa" w:w="100"/>
              <w:left w:type="dxa" w:w="150"/>
              <w:bottom w:type="dxa" w:w="100"/>
              <w:right w:type="dxa" w:w="150"/>
            </w:tcMar>
            <w:vAlign w:val="center"/>
          </w:tcPr>
          <w:p>
            <w:pPr>
              <w:spacing w:before="0" w:after="0"/>
              <w:jc w:val="center"/>
            </w:pPr>
            <w:r>
              <w:rPr>
                <w:rFonts w:ascii="Arial" w:cs="Arial" w:eastAsia="Arial" w:hAnsi="Arial"/>
                <w:color w:val="000000"/>
                <w:sz w:val="24"/>
                <w:szCs w:val="24"/>
              </w:rPr>
              <w:t xml:space="preserve">  </w:t>
            </w:r>
          </w:p>
        </w:tc>
        <w:tc>
          <w:tcPr>
            <w:tcW w:type="dxa" w:w="3120"/>
            <w:tcBorders>
              <w:top w:val="none" w:color="FFFFFF" w:sz="0"/>
              <w:left w:val="none" w:color="FFFFFF" w:sz="0"/>
              <w:bottom w:val="none" w:color="FFFFFF" w:sz="0"/>
              <w:right w:val="none" w:color="FFFFFF" w:sz="0"/>
            </w:tcBorders>
            <w:shd w:fill="C8A84B" w:val="clear"/>
            <w:tcMar>
              <w:top w:type="dxa" w:w="100"/>
              <w:left w:type="dxa" w:w="150"/>
              <w:bottom w:type="dxa" w:w="100"/>
              <w:right w:type="dxa" w:w="150"/>
            </w:tcMar>
            <w:vAlign w:val="center"/>
          </w:tcPr>
          <w:p>
            <w:pPr>
              <w:spacing w:before="0" w:after="0"/>
              <w:jc w:val="center"/>
            </w:pPr>
            <w:r>
              <w:rPr>
                <w:rFonts w:ascii="Arial" w:cs="Arial" w:eastAsia="Arial" w:hAnsi="Arial"/>
                <w:color w:val="000000"/>
                <w:sz w:val="24"/>
                <w:szCs w:val="24"/>
              </w:rPr>
              <w:t xml:space="preserve">  </w:t>
            </w:r>
          </w:p>
        </w:tc>
        <w:tc>
          <w:tcPr>
            <w:tcW w:type="dxa" w:w="3120"/>
            <w:tcBorders>
              <w:top w:val="none" w:color="FFFFFF" w:sz="0"/>
              <w:left w:val="none" w:color="FFFFFF" w:sz="0"/>
              <w:bottom w:val="none" w:color="FFFFFF" w:sz="0"/>
              <w:right w:val="none" w:color="FFFFFF" w:sz="0"/>
            </w:tcBorders>
            <w:shd w:fill="C0392B" w:val="clear"/>
            <w:tcMar>
              <w:top w:type="dxa" w:w="100"/>
              <w:left w:type="dxa" w:w="150"/>
              <w:bottom w:type="dxa" w:w="100"/>
              <w:right w:type="dxa" w:w="150"/>
            </w:tcMar>
            <w:vAlign w:val="center"/>
          </w:tcPr>
          <w:p>
            <w:pPr>
              <w:spacing w:before="0" w:after="0"/>
              <w:jc w:val="center"/>
            </w:pPr>
            <w:r>
              <w:rPr>
                <w:rFonts w:ascii="Arial" w:cs="Arial" w:eastAsia="Arial" w:hAnsi="Arial"/>
                <w:color w:val="000000"/>
                <w:sz w:val="24"/>
                <w:szCs w:val="24"/>
              </w:rPr>
              <w:t xml:space="preserve">  </w:t>
            </w:r>
          </w:p>
        </w:tc>
      </w:tr>
    </w:tbl>
    <w:p>
      <w:pPr>
        <w:spacing w:before="0" w:after="120"/>
      </w:pPr>
    </w:p>
    <w:p>
      <w:pPr>
        <w:spacing w:before="0" w:after="120"/>
      </w:pPr>
    </w:p>
    <w:p>
      <w:pPr>
        <w:spacing w:before="200" w:after="60"/>
        <w:jc w:val="center"/>
      </w:pPr>
      <w:r>
        <w:rPr>
          <w:rFonts w:ascii="Arial" w:cs="Arial" w:eastAsia="Arial" w:hAnsi="Arial"/>
          <w:b/>
          <w:bCs/>
          <w:color w:val="2D7A4F"/>
          <w:sz w:val="26"/>
          <w:szCs w:val="26"/>
        </w:rPr>
        <w:t xml:space="preserve">PLATEFORME NUMÉRIQUE NATIONALE — PROPOSITION DE CONCEPTION</w:t>
      </w:r>
    </w:p>
    <w:p>
      <w:pPr>
        <w:spacing w:before="0" w:after="60"/>
        <w:jc w:val="center"/>
      </w:pPr>
      <w:r>
        <w:rPr>
          <w:rFonts w:ascii="Arial" w:cs="Arial" w:eastAsia="Arial" w:hAnsi="Arial"/>
          <w:b/>
          <w:bCs/>
          <w:color w:val="1A4A2E"/>
          <w:sz w:val="48"/>
          <w:szCs w:val="48"/>
        </w:rPr>
        <w:t xml:space="preserve">PLANTES MÉDICINALES, AROMATIQUES &amp; ALIMENTAIRES</w:t>
      </w:r>
    </w:p>
    <w:p>
      <w:pPr>
        <w:spacing w:before="0" w:after="200"/>
        <w:jc w:val="center"/>
      </w:pPr>
      <w:r>
        <w:rPr>
          <w:rFonts w:ascii="Arial" w:cs="Arial" w:eastAsia="Arial" w:hAnsi="Arial"/>
          <w:b/>
          <w:bCs/>
          <w:color w:val="1A4A2E"/>
          <w:sz w:val="48"/>
          <w:szCs w:val="48"/>
        </w:rPr>
        <w:t xml:space="preserve">DU GRAND SUD D'HAÏTI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2E" w:sz="6"/>
              <w:left w:val="single" w:color="1A4A2E" w:sz="6"/>
              <w:bottom w:val="single" w:color="1A4A2E" w:sz="6"/>
              <w:right w:val="single" w:color="1A4A2E" w:sz="6"/>
            </w:tcBorders>
            <w:shd w:fill="1A4A2E" w:val="clear"/>
            <w:tcMar>
              <w:top w:type="dxa" w:w="100"/>
              <w:left w:type="dxa" w:w="150"/>
              <w:bottom w:type="dxa" w:w="100"/>
              <w:right w:type="dxa" w:w="150"/>
            </w:tcMar>
            <w:vAlign w:val="center"/>
          </w:tcPr>
          <w:p>
            <w:pPr>
              <w:spacing w:before="120" w:after="60"/>
              <w:jc w:val="center"/>
            </w:pPr>
            <w:r>
              <w:rPr>
                <w:rFonts w:ascii="Arial" w:cs="Arial" w:eastAsia="Arial" w:hAnsi="Arial"/>
                <w:b/>
                <w:bCs/>
                <w:color w:val="FFFFFF"/>
                <w:sz w:val="30"/>
                <w:szCs w:val="30"/>
              </w:rPr>
              <w:t xml:space="preserve">PMAA HAÏTI · Atlas Botanique Interactif</w:t>
            </w:r>
          </w:p>
          <w:p>
            <w:pPr>
              <w:spacing w:before="0" w:after="60"/>
              <w:jc w:val="center"/>
            </w:pPr>
            <w:r>
              <w:rPr>
                <w:rFonts w:ascii="Arial" w:cs="Arial" w:eastAsia="Arial" w:hAnsi="Arial"/>
                <w:color w:val="F5E8C0"/>
                <w:sz w:val="22"/>
                <w:szCs w:val="22"/>
              </w:rPr>
              <w:t xml:space="preserve">Architecture du Système · Design Professionnel · Portails Institutionnels</w:t>
            </w:r>
          </w:p>
          <w:p>
            <w:pPr>
              <w:spacing w:before="0" w:after="120"/>
              <w:jc w:val="center"/>
            </w:pPr>
            <w:r>
              <w:rPr>
                <w:rFonts w:ascii="Arial" w:cs="Arial" w:eastAsia="Arial" w:hAnsi="Arial"/>
                <w:color w:val="AAAAAA"/>
                <w:sz w:val="20"/>
                <w:szCs w:val="20"/>
              </w:rPr>
              <w:t xml:space="preserve">Jardin Botanique des Cayes (JBC) · 2025</w:t>
            </w:r>
          </w:p>
        </w:tc>
      </w:tr>
    </w:tbl>
    <w:p>
      <w:pPr>
        <w:spacing w:before="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7A4F" w:sz="4"/>
              <w:left w:val="single" w:color="2D7A4F" w:sz="4"/>
              <w:bottom w:val="single" w:color="2D7A4F" w:sz="4"/>
              <w:right w:val="single" w:color="2D7A4F" w:sz="4"/>
            </w:tcBorders>
            <w:shd w:fill="E8F5E9" w:val="clear"/>
            <w:tcMar>
              <w:top w:type="dxa" w:w="100"/>
              <w:left w:type="dxa" w:w="150"/>
              <w:bottom w:type="dxa" w:w="100"/>
              <w:right w:type="dxa" w:w="150"/>
            </w:tcMar>
            <w:vAlign w:val="center"/>
          </w:tcPr>
          <w:p>
            <w:pPr>
              <w:spacing w:before="80" w:after="40"/>
              <w:jc w:val="center"/>
            </w:pPr>
            <w:r>
              <w:rPr>
                <w:rFonts w:ascii="Arial" w:cs="Arial" w:eastAsia="Arial" w:hAnsi="Arial"/>
                <w:b/>
                <w:bCs/>
                <w:color w:val="1A4A2E"/>
                <w:sz w:val="22"/>
                <w:szCs w:val="22"/>
              </w:rPr>
              <w:t xml:space="preserve">🌿 Trilingue</w:t>
            </w:r>
          </w:p>
          <w:p>
            <w:pPr>
              <w:spacing w:before="0" w:after="0"/>
              <w:jc w:val="center"/>
            </w:pPr>
            <w:r>
              <w:rPr>
                <w:rFonts w:ascii="Arial" w:cs="Arial" w:eastAsia="Arial" w:hAnsi="Arial"/>
                <w:color w:val="4A5568"/>
                <w:sz w:val="18"/>
                <w:szCs w:val="18"/>
              </w:rPr>
              <w:t xml:space="preserve">Français · English · Kreyòl</w:t>
            </w:r>
          </w:p>
        </w:tc>
        <w:tc>
          <w:tcPr>
            <w:tcW w:type="dxa" w:w="3120"/>
            <w:tcBorders>
              <w:top w:val="single" w:color="2980B9" w:sz="4"/>
              <w:left w:val="single" w:color="2980B9" w:sz="4"/>
              <w:bottom w:val="single" w:color="2980B9" w:sz="4"/>
              <w:right w:val="single" w:color="2980B9" w:sz="4"/>
            </w:tcBorders>
            <w:shd w:fill="E8F0FB" w:val="clear"/>
            <w:tcMar>
              <w:top w:type="dxa" w:w="100"/>
              <w:left w:type="dxa" w:w="150"/>
              <w:bottom w:type="dxa" w:w="100"/>
              <w:right w:type="dxa" w:w="150"/>
            </w:tcMar>
            <w:vAlign w:val="center"/>
          </w:tcPr>
          <w:p>
            <w:pPr>
              <w:spacing w:before="80" w:after="40"/>
              <w:jc w:val="center"/>
            </w:pPr>
            <w:r>
              <w:rPr>
                <w:rFonts w:ascii="Arial" w:cs="Arial" w:eastAsia="Arial" w:hAnsi="Arial"/>
                <w:b/>
                <w:bCs/>
                <w:color w:val="1A3A5C"/>
                <w:sz w:val="22"/>
                <w:szCs w:val="22"/>
              </w:rPr>
              <w:t xml:space="preserve">🏛️ 8 Portails</w:t>
            </w:r>
          </w:p>
          <w:p>
            <w:pPr>
              <w:spacing w:before="0" w:after="0"/>
              <w:jc w:val="center"/>
            </w:pPr>
            <w:r>
              <w:rPr>
                <w:rFonts w:ascii="Arial" w:cs="Arial" w:eastAsia="Arial" w:hAnsi="Arial"/>
                <w:color w:val="4A5568"/>
                <w:sz w:val="18"/>
                <w:szCs w:val="18"/>
              </w:rPr>
              <w:t xml:space="preserve">Ministères · Praticiens · Public</w:t>
            </w:r>
          </w:p>
        </w:tc>
        <w:tc>
          <w:tcPr>
            <w:tcW w:type="dxa" w:w="3120"/>
            <w:tcBorders>
              <w:top w:val="single" w:color="E74C3c" w:sz="4"/>
              <w:left w:val="single" w:color="E74C3c" w:sz="4"/>
              <w:bottom w:val="single" w:color="E74C3c" w:sz="4"/>
              <w:right w:val="single" w:color="E74C3c" w:sz="4"/>
            </w:tcBorders>
            <w:shd w:fill="FDE8E8" w:val="clear"/>
            <w:tcMar>
              <w:top w:type="dxa" w:w="100"/>
              <w:left w:type="dxa" w:w="150"/>
              <w:bottom w:type="dxa" w:w="100"/>
              <w:right w:type="dxa" w:w="150"/>
            </w:tcMar>
            <w:vAlign w:val="center"/>
          </w:tcPr>
          <w:p>
            <w:pPr>
              <w:spacing w:before="80" w:after="40"/>
              <w:jc w:val="center"/>
            </w:pPr>
            <w:r>
              <w:rPr>
                <w:rFonts w:ascii="Arial" w:cs="Arial" w:eastAsia="Arial" w:hAnsi="Arial"/>
                <w:b/>
                <w:bCs/>
                <w:color w:val="C0392B"/>
                <w:sz w:val="22"/>
                <w:szCs w:val="22"/>
              </w:rPr>
              <w:t xml:space="preserve">🌺 847 Plantes</w:t>
            </w:r>
          </w:p>
          <w:p>
            <w:pPr>
              <w:spacing w:before="0" w:after="0"/>
              <w:jc w:val="center"/>
            </w:pPr>
            <w:r>
              <w:rPr>
                <w:rFonts w:ascii="Arial" w:cs="Arial" w:eastAsia="Arial" w:hAnsi="Arial"/>
                <w:color w:val="4A5568"/>
                <w:sz w:val="18"/>
                <w:szCs w:val="18"/>
              </w:rPr>
              <w:t xml:space="preserve">Grand Sud &amp; Grand'Anse</w:t>
            </w:r>
          </w:p>
        </w:tc>
      </w:tr>
    </w:tbl>
    <w:p>
      <w:pPr>
        <w:spacing w:before="0" w:after="120"/>
      </w:pPr>
    </w:p>
    <w:p>
      <w:pPr>
        <w:spacing w:before="0" w:after="120"/>
      </w:pPr>
    </w:p>
    <w:p>
      <w:pPr>
        <w:spacing w:before="80" w:after="0"/>
        <w:jc w:val="center"/>
      </w:pPr>
      <w:r>
        <w:rPr>
          <w:rFonts w:ascii="Arial" w:cs="Arial" w:eastAsia="Arial" w:hAnsi="Arial"/>
          <w:color w:val="4A5568"/>
          <w:sz w:val="20"/>
          <w:szCs w:val="20"/>
        </w:rPr>
        <w:t xml:space="preserve">Document préparé pour :</w:t>
      </w:r>
    </w:p>
    <w:p>
      <w:pPr>
        <w:spacing w:before="40" w:after="80"/>
        <w:jc w:val="center"/>
      </w:pPr>
      <w:r>
        <w:rPr>
          <w:rFonts w:ascii="Arial" w:cs="Arial" w:eastAsia="Arial" w:hAnsi="Arial"/>
          <w:b/>
          <w:bCs/>
          <w:color w:val="1A4A2E"/>
          <w:sz w:val="21"/>
          <w:szCs w:val="21"/>
        </w:rPr>
        <w:t xml:space="preserve">Ministère de l'Environnement · Ministère de la Santé Publique · Ministère de l'Agriculture · Ministère du Commerce</w:t>
      </w:r>
    </w:p>
    <w:p>
      <w:r>
        <w:br w:type="page"/>
      </w:r>
    </w:p>
    <w:p>
      <w:pPr>
        <w:pStyle w:val="Heading1"/>
        <w:pBdr>
          <w:bottom w:val="single" w:color="1A4A2E" w:sz="8" w:space="4"/>
        </w:pBdr>
        <w:spacing w:before="360" w:after="160"/>
      </w:pPr>
      <w:r>
        <w:rPr>
          <w:rFonts w:ascii="Arial" w:cs="Arial" w:eastAsia="Arial" w:hAnsi="Arial"/>
          <w:b/>
          <w:bCs/>
          <w:color w:val="1A4A2E"/>
          <w:sz w:val="36"/>
          <w:szCs w:val="36"/>
        </w:rPr>
        <w:t xml:space="preserve">1. Analyse du Document Existant et Contexte</w:t>
      </w:r>
    </w:p>
    <w:p>
      <w:pPr>
        <w:pStyle w:val="Heading2"/>
        <w:spacing w:before="280" w:after="120"/>
      </w:pPr>
      <w:r>
        <w:rPr>
          <w:rFonts w:ascii="Arial" w:cs="Arial" w:eastAsia="Arial" w:hAnsi="Arial"/>
          <w:b/>
          <w:bCs/>
          <w:color w:val="2D7A4F"/>
          <w:sz w:val="28"/>
          <w:szCs w:val="28"/>
        </w:rPr>
        <w:t xml:space="preserve">1.1 Forces du Document Actuel</w:t>
      </w:r>
    </w:p>
    <w:p>
      <w:pPr>
        <w:spacing w:before="80" w:after="120"/>
        <w:jc w:val="left"/>
      </w:pPr>
      <w:r>
        <w:rPr>
          <w:rFonts w:ascii="Arial" w:cs="Arial" w:eastAsia="Arial" w:hAnsi="Arial"/>
          <w:color w:val="1A1A2E"/>
          <w:sz w:val="22"/>
          <w:szCs w:val="22"/>
        </w:rPr>
        <w:t xml:space="preserve">Le Plan de Conservation et de Valorisation des PMAA (version 3, 2025) présente plusieurs atouts qui serviront de base au site web :</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Atout identifié</w:t>
            </w:r>
          </w:p>
        </w:tc>
        <w:tc>
          <w:tcPr>
            <w:tcW w:type="dxa" w:w="696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Description</w:t>
            </w:r>
          </w:p>
        </w:tc>
      </w:tr>
      <w:tr>
        <w:tc>
          <w:tcPr>
            <w:tcW w:type="dxa" w:w="24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Richesse du contenu</w:t>
            </w:r>
          </w:p>
        </w:tc>
        <w:tc>
          <w:tcPr>
            <w:tcW w:type="dxa" w:w="69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Données scientifiques sur 5 600+ espèces, données de marché (34,4 Mds USD), comparaisons internationales (Maroc, Inde, Brésil).</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Structure thématique claire</w:t>
            </w:r>
          </w:p>
        </w:tc>
        <w:tc>
          <w:tcPr>
            <w:tcW w:type="dxa" w:w="69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Cinq volets de valorisation (Santé, Nutrition, Bien-être, Cosmétique, Économie) correspondant aux modules du site.</w:t>
            </w:r>
          </w:p>
        </w:tc>
      </w:tr>
      <w:tr>
        <w:tc>
          <w:tcPr>
            <w:tcW w:type="dxa" w:w="24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Multi-acteurs identifiés</w:t>
            </w:r>
          </w:p>
        </w:tc>
        <w:tc>
          <w:tcPr>
            <w:tcW w:type="dxa" w:w="69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Les parties prenantes institutionnelles (4 ministères) et non-institutionnelles (guérisseurs, grand public) sont clairement définies.</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Données clés percutantes</w:t>
            </w:r>
          </w:p>
        </w:tc>
        <w:tc>
          <w:tcPr>
            <w:tcW w:type="dxa" w:w="69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Statistiques mémorables (80% de la population, 40% d'endémisme, vétiver Chanel/Dior) pour des visuels impactants.</w:t>
            </w:r>
          </w:p>
        </w:tc>
      </w:tr>
      <w:tr>
        <w:tc>
          <w:tcPr>
            <w:tcW w:type="dxa" w:w="24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Cas d'usage terrain</w:t>
            </w:r>
          </w:p>
        </w:tc>
        <w:tc>
          <w:tcPr>
            <w:tcW w:type="dxa" w:w="69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Témoignages des séismes 2010/2021 et ouragan Matthew — contenu émotionnel fort pour l'engagement des visiteurs.</w:t>
            </w:r>
          </w:p>
        </w:tc>
      </w:tr>
    </w:tbl>
    <w:p>
      <w:pPr>
        <w:spacing w:before="0" w:after="120"/>
      </w:pPr>
    </w:p>
    <w:p>
      <w:pPr>
        <w:pStyle w:val="Heading2"/>
        <w:spacing w:before="280" w:after="120"/>
      </w:pPr>
      <w:r>
        <w:rPr>
          <w:rFonts w:ascii="Arial" w:cs="Arial" w:eastAsia="Arial" w:hAnsi="Arial"/>
          <w:b/>
          <w:bCs/>
          <w:color w:val="2D7A4F"/>
          <w:sz w:val="28"/>
          <w:szCs w:val="28"/>
        </w:rPr>
        <w:t xml:space="preserve">1.2 Limites du Format Actuel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E74C3c" w:sz="6"/>
              <w:bottom w:val="single" w:color="E74C3c" w:sz="6"/>
              <w:right w:val="single" w:color="E74C3c" w:sz="6"/>
            </w:tcBorders>
            <w:shd w:fill="FDE8E8" w:val="clear"/>
            <w:tcMar>
              <w:top w:type="dxa" w:w="100"/>
              <w:left w:type="dxa" w:w="150"/>
              <w:bottom w:type="dxa" w:w="100"/>
              <w:right w:type="dxa" w:w="150"/>
            </w:tcMar>
            <w:vAlign w:val="center"/>
          </w:tcPr>
          <w:p>
            <w:pPr>
              <w:spacing w:before="80" w:after="60"/>
              <w:jc w:val="left"/>
            </w:pPr>
            <w:r>
              <w:rPr>
                <w:rFonts w:ascii="Arial" w:cs="Arial" w:eastAsia="Arial" w:hAnsi="Arial"/>
                <w:b/>
                <w:bCs/>
                <w:color w:val="C0392B"/>
                <w:sz w:val="22"/>
                <w:szCs w:val="22"/>
              </w:rPr>
              <w:t xml:space="preserve">Limites identifiées du format actuel (Document Word) :</w:t>
            </w:r>
          </w:p>
          <w:p>
            <w:pPr>
              <w:pStyle w:val="ListParagraph"/>
              <w:numPr>
                <w:ilvl w:val="0"/>
                <w:numId w:val="2"/>
              </w:numPr>
              <w:spacing w:before="60" w:after="60"/>
            </w:pPr>
            <w:r>
              <w:rPr>
                <w:rFonts w:ascii="Arial" w:cs="Arial" w:eastAsia="Arial" w:hAnsi="Arial"/>
                <w:color w:val="000000"/>
                <w:sz w:val="21"/>
                <w:szCs w:val="21"/>
              </w:rPr>
              <w:t xml:space="preserve">Accessibilité limitée — le document Word n'est pas optimisé pour les smartphones, pourtant vecteur principal en Haïti</w:t>
            </w:r>
          </w:p>
          <w:p>
            <w:pPr>
              <w:pStyle w:val="ListParagraph"/>
              <w:numPr>
                <w:ilvl w:val="0"/>
                <w:numId w:val="2"/>
              </w:numPr>
              <w:spacing w:before="60" w:after="60"/>
            </w:pPr>
            <w:r>
              <w:rPr>
                <w:rFonts w:ascii="Arial" w:cs="Arial" w:eastAsia="Arial" w:hAnsi="Arial"/>
                <w:color w:val="000000"/>
                <w:sz w:val="21"/>
                <w:szCs w:val="21"/>
              </w:rPr>
              <w:t xml:space="preserve">Pas de trilinguisme — contenu uniquement en français, excluant anglophones et créolophones</w:t>
            </w:r>
          </w:p>
          <w:p>
            <w:pPr>
              <w:pStyle w:val="ListParagraph"/>
              <w:numPr>
                <w:ilvl w:val="0"/>
                <w:numId w:val="2"/>
              </w:numPr>
              <w:spacing w:before="60" w:after="60"/>
            </w:pPr>
            <w:r>
              <w:rPr>
                <w:rFonts w:ascii="Arial" w:cs="Arial" w:eastAsia="Arial" w:hAnsi="Arial"/>
                <w:color w:val="000000"/>
                <w:sz w:val="21"/>
                <w:szCs w:val="21"/>
              </w:rPr>
              <w:t xml:space="preserve">Absence d'interactivité — pas de recherche, pas de cartes, pas de filtres par plante ou maladie</w:t>
            </w:r>
          </w:p>
          <w:p>
            <w:pPr>
              <w:pStyle w:val="ListParagraph"/>
              <w:numPr>
                <w:ilvl w:val="0"/>
                <w:numId w:val="2"/>
              </w:numPr>
              <w:spacing w:before="60" w:after="60"/>
            </w:pPr>
            <w:r>
              <w:rPr>
                <w:rFonts w:ascii="Arial" w:cs="Arial" w:eastAsia="Arial" w:hAnsi="Arial"/>
                <w:color w:val="000000"/>
                <w:sz w:val="21"/>
                <w:szCs w:val="21"/>
              </w:rPr>
              <w:t xml:space="preserve">Données non structurées — informations narratives, impossibles à filtrer ou à croiser</w:t>
            </w:r>
          </w:p>
          <w:p>
            <w:pPr>
              <w:pStyle w:val="ListParagraph"/>
              <w:numPr>
                <w:ilvl w:val="0"/>
                <w:numId w:val="2"/>
              </w:numPr>
              <w:spacing w:before="60" w:after="60"/>
            </w:pPr>
            <w:r>
              <w:rPr>
                <w:rFonts w:ascii="Arial" w:cs="Arial" w:eastAsia="Arial" w:hAnsi="Arial"/>
                <w:color w:val="000000"/>
                <w:sz w:val="21"/>
                <w:szCs w:val="21"/>
              </w:rPr>
              <w:t xml:space="preserve">Pas de portails différenciés — un seul document pour tous, alors que chaque ministère a des besoins spécifiques</w:t>
            </w:r>
          </w:p>
          <w:p>
            <w:pPr>
              <w:pStyle w:val="ListParagraph"/>
              <w:numPr>
                <w:ilvl w:val="0"/>
                <w:numId w:val="2"/>
              </w:numPr>
              <w:spacing w:before="60" w:after="60"/>
            </w:pPr>
            <w:r>
              <w:rPr>
                <w:rFonts w:ascii="Arial" w:cs="Arial" w:eastAsia="Arial" w:hAnsi="Arial"/>
                <w:color w:val="000000"/>
                <w:sz w:val="21"/>
                <w:szCs w:val="21"/>
              </w:rPr>
              <w:t xml:space="preserve">Mise à jour difficile — révision manuelle requise; un site web peut être mis à jour en temps réel</w:t>
            </w:r>
          </w:p>
          <w:p>
            <w:pPr>
              <w:pStyle w:val="ListParagraph"/>
              <w:numPr>
                <w:ilvl w:val="0"/>
                <w:numId w:val="2"/>
              </w:numPr>
              <w:spacing w:before="60" w:after="60"/>
            </w:pPr>
            <w:r>
              <w:rPr>
                <w:rFonts w:ascii="Arial" w:cs="Arial" w:eastAsia="Arial" w:hAnsi="Arial"/>
                <w:color w:val="000000"/>
                <w:sz w:val="21"/>
                <w:szCs w:val="21"/>
              </w:rPr>
              <w:t xml:space="preserve">Visibilité internationale nulle — un document Word ne génère pas de présence sur les moteurs de recherche</w:t>
            </w:r>
          </w:p>
        </w:tc>
      </w:tr>
    </w:tbl>
    <w:p>
      <w:r>
        <w:br w:type="page"/>
      </w:r>
    </w:p>
    <w:p>
      <w:pPr>
        <w:pStyle w:val="Heading1"/>
        <w:pBdr>
          <w:bottom w:val="single" w:color="1A4A2E" w:sz="8" w:space="4"/>
        </w:pBdr>
        <w:spacing w:before="360" w:after="160"/>
      </w:pPr>
      <w:r>
        <w:rPr>
          <w:rFonts w:ascii="Arial" w:cs="Arial" w:eastAsia="Arial" w:hAnsi="Arial"/>
          <w:b/>
          <w:bCs/>
          <w:color w:val="1A4A2E"/>
          <w:sz w:val="36"/>
          <w:szCs w:val="36"/>
        </w:rPr>
        <w:t xml:space="preserve">2. Vision et Positionnement de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2E" w:sz="6"/>
              <w:left w:val="single" w:color="1A4A2E" w:sz="6"/>
              <w:bottom w:val="single" w:color="1A4A2E" w:sz="6"/>
              <w:right w:val="single" w:color="1A4A2E" w:sz="6"/>
            </w:tcBorders>
            <w:shd w:fill="1A4A2E" w:val="clear"/>
            <w:tcMar>
              <w:top w:type="dxa" w:w="100"/>
              <w:left w:type="dxa" w:w="150"/>
              <w:bottom w:type="dxa" w:w="100"/>
              <w:right w:type="dxa" w:w="150"/>
            </w:tcMar>
            <w:vAlign w:val="center"/>
          </w:tcPr>
          <w:p>
            <w:pPr>
              <w:spacing w:before="120" w:after="60"/>
              <w:jc w:val="center"/>
            </w:pPr>
            <w:r>
              <w:rPr>
                <w:rFonts w:ascii="Arial" w:cs="Arial" w:eastAsia="Arial" w:hAnsi="Arial"/>
                <w:b/>
                <w:bCs/>
                <w:color w:val="FFFFFF"/>
                <w:sz w:val="28"/>
                <w:szCs w:val="28"/>
              </w:rPr>
              <w:t xml:space="preserve">PMAA HAÏTI — Plateforme Numérique de Référence Nationale</w:t>
            </w:r>
          </w:p>
          <w:p>
            <w:pPr>
              <w:spacing w:before="0" w:after="120"/>
              <w:jc w:val="center"/>
            </w:pPr>
            <w:r>
              <w:rPr>
                <w:rFonts w:ascii="Arial" w:cs="Arial" w:eastAsia="Arial" w:hAnsi="Arial"/>
                <w:color w:val="F5E8C0"/>
                <w:sz w:val="22"/>
                <w:szCs w:val="22"/>
              </w:rPr>
              <w:t xml:space="preserve">"Faire des plantes du Grand Sud un pilier de la santé, de l'économie et du patrimoine national haïtien"</w:t>
            </w:r>
          </w:p>
        </w:tc>
      </w:tr>
    </w:tbl>
    <w:p>
      <w:pPr>
        <w:spacing w:before="0" w:after="120"/>
      </w:pPr>
    </w:p>
    <w:p>
      <w:pPr>
        <w:pStyle w:val="Heading2"/>
        <w:spacing w:before="280" w:after="120"/>
      </w:pPr>
      <w:r>
        <w:rPr>
          <w:rFonts w:ascii="Arial" w:cs="Arial" w:eastAsia="Arial" w:hAnsi="Arial"/>
          <w:b/>
          <w:bCs/>
          <w:color w:val="2D7A4F"/>
          <w:sz w:val="28"/>
          <w:szCs w:val="28"/>
        </w:rPr>
        <w:t xml:space="preserve">2.1 Objectifs Stratégiques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4880"/>
      </w:tblGrid>
      <w:tr>
        <w:tc>
          <w:tcPr>
            <w:tcW w:type="dxa" w:w="6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w:t>
            </w:r>
          </w:p>
        </w:tc>
        <w:tc>
          <w:tcPr>
            <w:tcW w:type="dxa" w:w="388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Objectif</w:t>
            </w:r>
          </w:p>
        </w:tc>
        <w:tc>
          <w:tcPr>
            <w:tcW w:type="dxa" w:w="488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Indicateur de succès</w:t>
            </w:r>
          </w:p>
        </w:tc>
      </w:tr>
      <w:tr>
        <w:tc>
          <w:tcPr>
            <w:tcW w:type="dxa" w:w="6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2D7A4F"/>
                <w:sz w:val="19"/>
                <w:szCs w:val="19"/>
              </w:rPr>
              <w:t xml:space="preserve">O1</w:t>
            </w:r>
          </w:p>
        </w:tc>
        <w:tc>
          <w:tcPr>
            <w:tcW w:type="dxa" w:w="38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Centraliser la connaissance botanique nationale</w:t>
            </w:r>
          </w:p>
        </w:tc>
        <w:tc>
          <w:tcPr>
            <w:tcW w:type="dxa" w:w="48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9"/>
                <w:szCs w:val="19"/>
              </w:rPr>
              <w:t xml:space="preserve">100% des 847 plantes accessibles en ligne</w:t>
            </w:r>
          </w:p>
        </w:tc>
      </w:tr>
      <w:tr>
        <w:tc>
          <w:tcPr>
            <w:tcW w:type="dxa" w:w="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2D7A4F"/>
                <w:sz w:val="19"/>
                <w:szCs w:val="19"/>
              </w:rPr>
              <w:t xml:space="preserve">O2</w:t>
            </w:r>
          </w:p>
        </w:tc>
        <w:tc>
          <w:tcPr>
            <w:tcW w:type="dxa" w:w="388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Servir les décideurs institutionnels</w:t>
            </w:r>
          </w:p>
        </w:tc>
        <w:tc>
          <w:tcPr>
            <w:tcW w:type="dxa" w:w="488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9"/>
                <w:szCs w:val="19"/>
              </w:rPr>
              <w:t xml:space="preserve">4 portails ministériels avec tableaux de bord dédiés</w:t>
            </w:r>
          </w:p>
        </w:tc>
      </w:tr>
      <w:tr>
        <w:tc>
          <w:tcPr>
            <w:tcW w:type="dxa" w:w="6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2D7A4F"/>
                <w:sz w:val="19"/>
                <w:szCs w:val="19"/>
              </w:rPr>
              <w:t xml:space="preserve">O3</w:t>
            </w:r>
          </w:p>
        </w:tc>
        <w:tc>
          <w:tcPr>
            <w:tcW w:type="dxa" w:w="38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Rendre l'info accessible à tous</w:t>
            </w:r>
          </w:p>
        </w:tc>
        <w:tc>
          <w:tcPr>
            <w:tcW w:type="dxa" w:w="48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9"/>
                <w:szCs w:val="19"/>
              </w:rPr>
              <w:t xml:space="preserve">Site trilingue FR/EN/KR · Interface mobile-first</w:t>
            </w:r>
          </w:p>
        </w:tc>
      </w:tr>
      <w:tr>
        <w:tc>
          <w:tcPr>
            <w:tcW w:type="dxa" w:w="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2D7A4F"/>
                <w:sz w:val="19"/>
                <w:szCs w:val="19"/>
              </w:rPr>
              <w:t xml:space="preserve">O4</w:t>
            </w:r>
          </w:p>
        </w:tc>
        <w:tc>
          <w:tcPr>
            <w:tcW w:type="dxa" w:w="388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Connecter plantes et maladies</w:t>
            </w:r>
          </w:p>
        </w:tc>
        <w:tc>
          <w:tcPr>
            <w:tcW w:type="dxa" w:w="488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9"/>
                <w:szCs w:val="19"/>
              </w:rPr>
              <w:t xml:space="preserve">8 catégories thérapeutiques avec 800+ associations validées</w:t>
            </w:r>
          </w:p>
        </w:tc>
      </w:tr>
      <w:tr>
        <w:tc>
          <w:tcPr>
            <w:tcW w:type="dxa" w:w="6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2D7A4F"/>
                <w:sz w:val="19"/>
                <w:szCs w:val="19"/>
              </w:rPr>
              <w:t xml:space="preserve">O5</w:t>
            </w:r>
          </w:p>
        </w:tc>
        <w:tc>
          <w:tcPr>
            <w:tcW w:type="dxa" w:w="38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Promouvoir l'économie PMAA</w:t>
            </w:r>
          </w:p>
        </w:tc>
        <w:tc>
          <w:tcPr>
            <w:tcW w:type="dxa" w:w="48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9"/>
                <w:szCs w:val="19"/>
              </w:rPr>
              <w:t xml:space="preserve">Module commerce avec registre entreprises et export</w:t>
            </w:r>
          </w:p>
        </w:tc>
      </w:tr>
      <w:tr>
        <w:tc>
          <w:tcPr>
            <w:tcW w:type="dxa" w:w="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2D7A4F"/>
                <w:sz w:val="19"/>
                <w:szCs w:val="19"/>
              </w:rPr>
              <w:t xml:space="preserve">O6</w:t>
            </w:r>
          </w:p>
        </w:tc>
        <w:tc>
          <w:tcPr>
            <w:tcW w:type="dxa" w:w="388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Préserver le savoir traditionnel</w:t>
            </w:r>
          </w:p>
        </w:tc>
        <w:tc>
          <w:tcPr>
            <w:tcW w:type="dxa" w:w="488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9"/>
                <w:szCs w:val="19"/>
              </w:rPr>
              <w:t xml:space="preserve">2 300+ préparations documentées · Archives des guérisseurs</w:t>
            </w:r>
          </w:p>
        </w:tc>
      </w:tr>
      <w:tr>
        <w:tc>
          <w:tcPr>
            <w:tcW w:type="dxa" w:w="6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2D7A4F"/>
                <w:sz w:val="19"/>
                <w:szCs w:val="19"/>
              </w:rPr>
              <w:t xml:space="preserve">O7</w:t>
            </w:r>
          </w:p>
        </w:tc>
        <w:tc>
          <w:tcPr>
            <w:tcW w:type="dxa" w:w="38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Positionnement international</w:t>
            </w:r>
          </w:p>
        </w:tc>
        <w:tc>
          <w:tcPr>
            <w:tcW w:type="dxa" w:w="48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9"/>
                <w:szCs w:val="19"/>
              </w:rPr>
              <w:t xml:space="preserve">SEO multilingue · Partenariats TRAMIL, BGCI, PubMed</w:t>
            </w:r>
          </w:p>
        </w:tc>
      </w:tr>
    </w:tbl>
    <w:p>
      <w:pPr>
        <w:spacing w:before="0" w:after="120"/>
      </w:pPr>
    </w:p>
    <w:p>
      <w:pPr>
        <w:pStyle w:val="Heading2"/>
        <w:spacing w:before="280" w:after="120"/>
      </w:pPr>
      <w:r>
        <w:rPr>
          <w:rFonts w:ascii="Arial" w:cs="Arial" w:eastAsia="Arial" w:hAnsi="Arial"/>
          <w:b/>
          <w:bCs/>
          <w:color w:val="2D7A4F"/>
          <w:sz w:val="28"/>
          <w:szCs w:val="28"/>
        </w:rPr>
        <w:t xml:space="preserve">2.2 Positionnement — Le Modèle Maroc Appliqué à Haïti</w:t>
      </w:r>
    </w:p>
    <w:p>
      <w:pPr>
        <w:spacing w:before="80" w:after="120"/>
        <w:jc w:val="left"/>
      </w:pPr>
      <w:r>
        <w:rPr>
          <w:rFonts w:ascii="Arial" w:cs="Arial" w:eastAsia="Arial" w:hAnsi="Arial"/>
          <w:color w:val="1A1A2E"/>
          <w:sz w:val="22"/>
          <w:szCs w:val="22"/>
        </w:rPr>
        <w:t xml:space="preserve">Le document cite le modèle marocain comme inspiration. Le site web doit incarner cette ambition en positionnant Haïti comme l'équivalent caribéen du Maroc des plantes médicinales.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Critère</w:t>
            </w:r>
          </w:p>
        </w:tc>
        <w:tc>
          <w:tcPr>
            <w:tcW w:type="dxa" w:w="328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Maroc (référence)</w:t>
            </w:r>
          </w:p>
        </w:tc>
        <w:tc>
          <w:tcPr>
            <w:tcW w:type="dxa" w:w="328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Haïti PMAA (cible)</w:t>
            </w:r>
          </w:p>
        </w:tc>
      </w:tr>
      <w:tr>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Espèces végétales</w:t>
            </w:r>
          </w:p>
        </w:tc>
        <w:tc>
          <w:tcPr>
            <w:tcW w:type="dxa" w:w="32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4 200 espèces · 800 médicinales</w:t>
            </w:r>
          </w:p>
        </w:tc>
        <w:tc>
          <w:tcPr>
            <w:tcW w:type="dxa" w:w="32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5 600 espèces · 40% endémiques</w:t>
            </w:r>
          </w:p>
        </w:tc>
      </w:tr>
      <w:tr>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Produit phare</w:t>
            </w:r>
          </w:p>
        </w:tc>
        <w:tc>
          <w:tcPr>
            <w:tcW w:type="dxa" w:w="328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Huile d'argan (AOP mondiale)</w:t>
            </w:r>
          </w:p>
        </w:tc>
        <w:tc>
          <w:tcPr>
            <w:tcW w:type="dxa" w:w="3280"/>
            <w:tcBorders>
              <w:top w:val="single" w:color="E0E0E0" w:sz="3"/>
              <w:left w:val="single" w:color="E0E0E0" w:sz="3"/>
              <w:bottom w:val="single" w:color="E0E0E0" w:sz="3"/>
              <w:right w:val="single" w:color="E0E0E0" w:sz="3"/>
            </w:tcBorders>
            <w:shd w:fill="DDEFDD"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Vétiver haïtien (Chanel, Dior, Guerlain)</w:t>
            </w:r>
          </w:p>
        </w:tc>
      </w:tr>
      <w:tr>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Export annuel</w:t>
            </w:r>
          </w:p>
        </w:tc>
        <w:tc>
          <w:tcPr>
            <w:tcW w:type="dxa" w:w="32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200 M USD / an</w:t>
            </w:r>
          </w:p>
        </w:tc>
        <w:tc>
          <w:tcPr>
            <w:tcW w:type="dxa" w:w="32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Potentiel non exploité — objectif 50M USD</w:t>
            </w:r>
          </w:p>
        </w:tc>
      </w:tr>
      <w:tr>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Présence digitale</w:t>
            </w:r>
          </w:p>
        </w:tc>
        <w:tc>
          <w:tcPr>
            <w:tcW w:type="dxa" w:w="328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Sites officiels en 3 langues</w:t>
            </w:r>
          </w:p>
        </w:tc>
        <w:tc>
          <w:tcPr>
            <w:tcW w:type="dxa" w:w="3280"/>
            <w:tcBorders>
              <w:top w:val="single" w:color="E0E0E0" w:sz="3"/>
              <w:left w:val="single" w:color="E0E0E0" w:sz="3"/>
              <w:bottom w:val="single" w:color="E0E0E0" w:sz="3"/>
              <w:right w:val="single" w:color="E0E0E0" w:sz="3"/>
            </w:tcBorders>
            <w:shd w:fill="DDEFDD"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À créer — opportunité immédiate</w:t>
            </w:r>
          </w:p>
        </w:tc>
      </w:tr>
      <w:tr>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Certification</w:t>
            </w:r>
          </w:p>
        </w:tc>
        <w:tc>
          <w:tcPr>
            <w:tcW w:type="dxa" w:w="32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ISO, Ecocert, AOP</w:t>
            </w:r>
          </w:p>
        </w:tc>
        <w:tc>
          <w:tcPr>
            <w:tcW w:type="dxa" w:w="328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À développer — marque "Plantes d'Haïti"</w:t>
            </w:r>
          </w:p>
        </w:tc>
      </w:tr>
    </w:tbl>
    <w:p>
      <w:r>
        <w:br w:type="page"/>
      </w:r>
    </w:p>
    <w:p>
      <w:pPr>
        <w:pStyle w:val="Heading1"/>
        <w:pBdr>
          <w:bottom w:val="single" w:color="1A4A2E" w:sz="8" w:space="4"/>
        </w:pBdr>
        <w:spacing w:before="360" w:after="160"/>
      </w:pPr>
      <w:r>
        <w:rPr>
          <w:rFonts w:ascii="Arial" w:cs="Arial" w:eastAsia="Arial" w:hAnsi="Arial"/>
          <w:b/>
          <w:bCs/>
          <w:color w:val="1A4A2E"/>
          <w:sz w:val="36"/>
          <w:szCs w:val="36"/>
        </w:rPr>
        <w:t xml:space="preserve">3. Architecture de l'Information</w:t>
      </w:r>
    </w:p>
    <w:p>
      <w:pPr>
        <w:pStyle w:val="Heading2"/>
        <w:spacing w:before="280" w:after="120"/>
      </w:pPr>
      <w:r>
        <w:rPr>
          <w:rFonts w:ascii="Arial" w:cs="Arial" w:eastAsia="Arial" w:hAnsi="Arial"/>
          <w:b/>
          <w:bCs/>
          <w:color w:val="2D7A4F"/>
          <w:sz w:val="28"/>
          <w:szCs w:val="28"/>
        </w:rPr>
        <w:t xml:space="preserve">3.1 Structure de Navigation Principale</w:t>
      </w:r>
    </w:p>
    <w:p>
      <w:pPr>
        <w:spacing w:before="80" w:after="120"/>
        <w:jc w:val="left"/>
      </w:pPr>
      <w:r>
        <w:rPr>
          <w:rFonts w:ascii="Arial" w:cs="Arial" w:eastAsia="Arial" w:hAnsi="Arial"/>
          <w:color w:val="1A1A2E"/>
          <w:sz w:val="22"/>
          <w:szCs w:val="22"/>
        </w:rPr>
        <w:t xml:space="preserve">Le site est organisé autour de sept sections principales, accessibles depuis la barre de navigation permanente :</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Section</w:t>
            </w:r>
          </w:p>
        </w:tc>
        <w:tc>
          <w:tcPr>
            <w:tcW w:type="dxa" w:w="28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Navigation</w:t>
            </w:r>
          </w:p>
        </w:tc>
        <w:tc>
          <w:tcPr>
            <w:tcW w:type="dxa" w:w="536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Contenu principal</w:t>
            </w:r>
          </w:p>
        </w:tc>
      </w:tr>
      <w:tr>
        <w:tc>
          <w:tcPr>
            <w:tcW w:type="dxa" w:w="12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01 — Accueil</w:t>
            </w:r>
          </w:p>
        </w:tc>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Accueil / Home / Lakay</w:t>
            </w:r>
          </w:p>
        </w:tc>
        <w:tc>
          <w:tcPr>
            <w:tcW w:type="dxa" w:w="53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Héros avec statistiques clés, sélecteur d'audience, carte interactive, modules principaux, annonces JBC</w:t>
            </w:r>
          </w:p>
        </w:tc>
      </w:tr>
      <w:tr>
        <w:tc>
          <w:tcPr>
            <w:tcW w:type="dxa" w:w="12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02 — Atlas</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Atlas des Plantes</w:t>
            </w:r>
          </w:p>
        </w:tc>
        <w:tc>
          <w:tcPr>
            <w:tcW w:type="dxa" w:w="53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Encyclopédie botanique avec recherche avancée, filtres, fiches trilingues, cartes SIG</w:t>
            </w:r>
          </w:p>
        </w:tc>
      </w:tr>
      <w:tr>
        <w:tc>
          <w:tcPr>
            <w:tcW w:type="dxa" w:w="12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03 — Santé</w:t>
            </w:r>
          </w:p>
        </w:tc>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Santé &amp; Maladies</w:t>
            </w:r>
          </w:p>
        </w:tc>
        <w:tc>
          <w:tcPr>
            <w:tcW w:type="dxa" w:w="53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Index thérapeutique par maladie/système, protocoles, contre-indications, pharmacopée nationale</w:t>
            </w:r>
          </w:p>
        </w:tc>
      </w:tr>
      <w:tr>
        <w:tc>
          <w:tcPr>
            <w:tcW w:type="dxa" w:w="12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04 — Conservation</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Conservation</w:t>
            </w:r>
          </w:p>
        </w:tc>
        <w:tc>
          <w:tcPr>
            <w:tcW w:type="dxa" w:w="53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Espèces menacées UICN, plan SPANB, aires protégées, suivi des populations, reboisement</w:t>
            </w:r>
          </w:p>
        </w:tc>
      </w:tr>
      <w:tr>
        <w:tc>
          <w:tcPr>
            <w:tcW w:type="dxa" w:w="12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05 — Économie</w:t>
            </w:r>
          </w:p>
        </w:tc>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Économie &amp; Commerce</w:t>
            </w:r>
          </w:p>
        </w:tc>
        <w:tc>
          <w:tcPr>
            <w:tcW w:type="dxa" w:w="53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Filières PMAA, marché international, registre entreprises, certification, export</w:t>
            </w:r>
          </w:p>
        </w:tc>
      </w:tr>
      <w:tr>
        <w:tc>
          <w:tcPr>
            <w:tcW w:type="dxa" w:w="12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06 — Ministères</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Portails Ministériels</w:t>
            </w:r>
          </w:p>
        </w:tc>
        <w:tc>
          <w:tcPr>
            <w:tcW w:type="dxa" w:w="53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4 portails dédiés avec tableaux de bord et outils de politique publique</w:t>
            </w:r>
          </w:p>
        </w:tc>
      </w:tr>
      <w:tr>
        <w:tc>
          <w:tcPr>
            <w:tcW w:type="dxa" w:w="12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07 — Tradition</w:t>
            </w:r>
          </w:p>
        </w:tc>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Savoir Traditionnel</w:t>
            </w:r>
          </w:p>
        </w:tc>
        <w:tc>
          <w:tcPr>
            <w:tcW w:type="dxa" w:w="53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Ethnobotanique, guérisseurs, noms créoles, préparations traditionnelles, archives multimédia</w:t>
            </w:r>
          </w:p>
        </w:tc>
      </w:tr>
    </w:tbl>
    <w:p>
      <w:pPr>
        <w:spacing w:before="0" w:after="120"/>
      </w:pPr>
    </w:p>
    <w:p>
      <w:pPr>
        <w:pStyle w:val="Heading2"/>
        <w:spacing w:before="280" w:after="120"/>
      </w:pPr>
      <w:r>
        <w:rPr>
          <w:rFonts w:ascii="Arial" w:cs="Arial" w:eastAsia="Arial" w:hAnsi="Arial"/>
          <w:b/>
          <w:bCs/>
          <w:color w:val="2D7A4F"/>
          <w:sz w:val="28"/>
          <w:szCs w:val="28"/>
        </w:rPr>
        <w:t xml:space="preserve">3.2 Système de Portails par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Audience</w:t>
            </w:r>
          </w:p>
        </w:tc>
        <w:tc>
          <w:tcPr>
            <w:tcW w:type="dxa" w:w="240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Type d'accès</w:t>
            </w:r>
          </w:p>
        </w:tc>
        <w:tc>
          <w:tcPr>
            <w:tcW w:type="dxa" w:w="456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Besoins spécifiques couverts</w:t>
            </w:r>
          </w:p>
        </w:tc>
      </w:tr>
      <w:tr>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Ministère Environnement</w:t>
            </w:r>
          </w:p>
        </w:tc>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2563A8"/>
                <w:sz w:val="19"/>
                <w:szCs w:val="19"/>
              </w:rPr>
              <w:t xml:space="preserve">Institutionnel · Authentifié</w:t>
            </w:r>
          </w:p>
        </w:tc>
        <w:tc>
          <w:tcPr>
            <w:tcW w:type="dxa" w:w="45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Conservation, biodiversité, SPANB, suivi espèces menacées</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Ministère Santé Publique</w:t>
            </w:r>
          </w:p>
        </w:tc>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2563A8"/>
                <w:sz w:val="19"/>
                <w:szCs w:val="19"/>
              </w:rPr>
              <w:t xml:space="preserve">Institutionnel · Authentifié</w:t>
            </w:r>
          </w:p>
        </w:tc>
        <w:tc>
          <w:tcPr>
            <w:tcW w:type="dxa" w:w="45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Pharmacopée, protocoles cliniques, toxicologie, épidémiologie</w:t>
            </w:r>
          </w:p>
        </w:tc>
      </w:tr>
      <w:tr>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Ministère Agriculture</w:t>
            </w:r>
          </w:p>
        </w:tc>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2563A8"/>
                <w:sz w:val="19"/>
                <w:szCs w:val="19"/>
              </w:rPr>
              <w:t xml:space="preserve">Institutionnel · Authentifié</w:t>
            </w:r>
          </w:p>
        </w:tc>
        <w:tc>
          <w:tcPr>
            <w:tcW w:type="dxa" w:w="45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Cultures, agroforesterie, semences, sécurité alimentaire</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Ministère Commerce</w:t>
            </w:r>
          </w:p>
        </w:tc>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2563A8"/>
                <w:sz w:val="19"/>
                <w:szCs w:val="19"/>
              </w:rPr>
              <w:t xml:space="preserve">Institutionnel · Authentifié</w:t>
            </w:r>
          </w:p>
        </w:tc>
        <w:tc>
          <w:tcPr>
            <w:tcW w:type="dxa" w:w="45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Filières, exportation, certification, registre entreprises</w:t>
            </w:r>
          </w:p>
        </w:tc>
      </w:tr>
      <w:tr>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Guérisseurs / Doktè Fey</w:t>
            </w:r>
          </w:p>
        </w:tc>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2563A8"/>
                <w:sz w:val="19"/>
                <w:szCs w:val="19"/>
              </w:rPr>
              <w:t xml:space="preserve">Communautaire · Semi-auth.</w:t>
            </w:r>
          </w:p>
        </w:tc>
        <w:tc>
          <w:tcPr>
            <w:tcW w:type="dxa" w:w="45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Répertoire créole, préparations, documentation savoirs</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Grand public / Familles</w:t>
            </w:r>
          </w:p>
        </w:tc>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2563A8"/>
                <w:sz w:val="19"/>
                <w:szCs w:val="19"/>
              </w:rPr>
              <w:t xml:space="preserve">Public · Non authentifié</w:t>
            </w:r>
          </w:p>
        </w:tc>
        <w:tc>
          <w:tcPr>
            <w:tcW w:type="dxa" w:w="45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Guides simples, recettes, dosages sécuritaires, bien-être</w:t>
            </w:r>
          </w:p>
        </w:tc>
      </w:tr>
      <w:tr>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Naturopathes / Phytothérapeutes</w:t>
            </w:r>
          </w:p>
        </w:tc>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2563A8"/>
                <w:sz w:val="19"/>
                <w:szCs w:val="19"/>
              </w:rPr>
              <w:t xml:space="preserve">Professionnel · Authentifié</w:t>
            </w:r>
          </w:p>
        </w:tc>
        <w:tc>
          <w:tcPr>
            <w:tcW w:type="dxa" w:w="45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Données phytochimiques, interactions, protocoles cliniques</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Chercheurs / Académiques</w:t>
            </w:r>
          </w:p>
        </w:tc>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2563A8"/>
                <w:sz w:val="19"/>
                <w:szCs w:val="19"/>
              </w:rPr>
              <w:t xml:space="preserve">Scientifique · Authentifié</w:t>
            </w:r>
          </w:p>
        </w:tc>
        <w:tc>
          <w:tcPr>
            <w:tcW w:type="dxa" w:w="45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Base de données complète, API, publications, données brutes</w:t>
            </w:r>
          </w:p>
        </w:tc>
      </w:tr>
    </w:tbl>
    <w:p>
      <w:r>
        <w:br w:type="page"/>
      </w:r>
    </w:p>
    <w:p>
      <w:pPr>
        <w:pStyle w:val="Heading1"/>
        <w:pBdr>
          <w:bottom w:val="single" w:color="1A4A2E" w:sz="8" w:space="4"/>
        </w:pBdr>
        <w:spacing w:before="360" w:after="160"/>
      </w:pPr>
      <w:r>
        <w:rPr>
          <w:rFonts w:ascii="Arial" w:cs="Arial" w:eastAsia="Arial" w:hAnsi="Arial"/>
          <w:b/>
          <w:bCs/>
          <w:color w:val="1A4A2E"/>
          <w:sz w:val="36"/>
          <w:szCs w:val="36"/>
        </w:rPr>
        <w:t xml:space="preserve">4. Design et Identité Visuelle</w:t>
      </w:r>
    </w:p>
    <w:p>
      <w:pPr>
        <w:pStyle w:val="Heading2"/>
        <w:spacing w:before="280" w:after="120"/>
      </w:pPr>
      <w:r>
        <w:rPr>
          <w:rFonts w:ascii="Arial" w:cs="Arial" w:eastAsia="Arial" w:hAnsi="Arial"/>
          <w:b/>
          <w:bCs/>
          <w:color w:val="2D7A4F"/>
          <w:sz w:val="28"/>
          <w:szCs w:val="28"/>
        </w:rPr>
        <w:t xml:space="preserve">4.1 Palette de Couleurs et Concept Graphique</w:t>
      </w:r>
    </w:p>
    <w:p>
      <w:pPr>
        <w:spacing w:before="80" w:after="120"/>
        <w:jc w:val="left"/>
      </w:pPr>
      <w:r>
        <w:rPr>
          <w:rFonts w:ascii="Arial" w:cs="Arial" w:eastAsia="Arial" w:hAnsi="Arial"/>
          <w:color w:val="1A1A2E"/>
          <w:sz w:val="22"/>
          <w:szCs w:val="22"/>
        </w:rPr>
        <w:t xml:space="preserve">Le design s'inspire de la nature luxuriante du Grand Sud, du drapeau haïtien (bleu et rouge), et de l'or de la biodiversité endémique. Une identité moderne, professionnelle et ancrée dans le patrimoine haïtien.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4A2E" w:sz="4"/>
              <w:left w:val="single" w:color="1A4A2E" w:sz="4"/>
              <w:bottom w:val="single" w:color="1A4A2E" w:sz="4"/>
              <w:right w:val="single" w:color="1A4A2E" w:sz="4"/>
            </w:tcBorders>
            <w:shd w:fill="1A4A2E" w:val="clear"/>
            <w:tcMar>
              <w:top w:type="dxa" w:w="100"/>
              <w:left w:type="dxa" w:w="150"/>
              <w:bottom w:type="dxa" w:w="100"/>
              <w:right w:type="dxa" w:w="150"/>
            </w:tcMar>
            <w:vAlign w:val="center"/>
          </w:tcPr>
          <w:p>
            <w:pPr>
              <w:spacing w:before="100" w:after="100"/>
              <w:jc w:val="center"/>
            </w:pPr>
            <w:r>
              <w:rPr>
                <w:rFonts w:ascii="Arial" w:cs="Arial" w:eastAsia="Arial" w:hAnsi="Arial"/>
                <w:b/>
                <w:bCs/>
                <w:color w:val="FFFFFF"/>
                <w:sz w:val="19"/>
                <w:szCs w:val="19"/>
              </w:rPr>
              <w:t xml:space="preserve">Vert Forêt #1A4A2E</w:t>
            </w:r>
          </w:p>
        </w:tc>
        <w:tc>
          <w:tcPr>
            <w:tcW w:type="dxa" w:w="1872"/>
            <w:tcBorders>
              <w:top w:val="single" w:color="2D7A4F" w:sz="4"/>
              <w:left w:val="single" w:color="2D7A4F" w:sz="4"/>
              <w:bottom w:val="single" w:color="2D7A4F" w:sz="4"/>
              <w:right w:val="single" w:color="2D7A4F" w:sz="4"/>
            </w:tcBorders>
            <w:shd w:fill="2D7A4F" w:val="clear"/>
            <w:tcMar>
              <w:top w:type="dxa" w:w="100"/>
              <w:left w:type="dxa" w:w="150"/>
              <w:bottom w:type="dxa" w:w="100"/>
              <w:right w:type="dxa" w:w="150"/>
            </w:tcMar>
            <w:vAlign w:val="center"/>
          </w:tcPr>
          <w:p>
            <w:pPr>
              <w:spacing w:before="100" w:after="100"/>
              <w:jc w:val="center"/>
            </w:pPr>
            <w:r>
              <w:rPr>
                <w:rFonts w:ascii="Arial" w:cs="Arial" w:eastAsia="Arial" w:hAnsi="Arial"/>
                <w:b/>
                <w:bCs/>
                <w:color w:val="FFFFFF"/>
                <w:sz w:val="19"/>
                <w:szCs w:val="19"/>
              </w:rPr>
              <w:t xml:space="preserve">Vert PMAA #2D7A4F</w:t>
            </w:r>
          </w:p>
        </w:tc>
        <w:tc>
          <w:tcPr>
            <w:tcW w:type="dxa" w:w="1872"/>
            <w:tcBorders>
              <w:top w:val="single" w:color="C8A84B" w:sz="4"/>
              <w:left w:val="single" w:color="C8A84B" w:sz="4"/>
              <w:bottom w:val="single" w:color="C8A84B" w:sz="4"/>
              <w:right w:val="single" w:color="C8A84B" w:sz="4"/>
            </w:tcBorders>
            <w:shd w:fill="C8A84B" w:val="clear"/>
            <w:tcMar>
              <w:top w:type="dxa" w:w="100"/>
              <w:left w:type="dxa" w:w="150"/>
              <w:bottom w:type="dxa" w:w="100"/>
              <w:right w:type="dxa" w:w="150"/>
            </w:tcMar>
            <w:vAlign w:val="center"/>
          </w:tcPr>
          <w:p>
            <w:pPr>
              <w:spacing w:before="100" w:after="100"/>
              <w:jc w:val="center"/>
            </w:pPr>
            <w:r>
              <w:rPr>
                <w:rFonts w:ascii="Arial" w:cs="Arial" w:eastAsia="Arial" w:hAnsi="Arial"/>
                <w:b/>
                <w:bCs/>
                <w:color w:val="1A4A2E"/>
                <w:sz w:val="19"/>
                <w:szCs w:val="19"/>
              </w:rPr>
              <w:t xml:space="preserve">Or Endémique #C8A84B</w:t>
            </w:r>
          </w:p>
        </w:tc>
        <w:tc>
          <w:tcPr>
            <w:tcW w:type="dxa" w:w="1872"/>
            <w:tcBorders>
              <w:top w:val="single" w:color="C0392B" w:sz="4"/>
              <w:left w:val="single" w:color="C0392B" w:sz="4"/>
              <w:bottom w:val="single" w:color="C0392B" w:sz="4"/>
              <w:right w:val="single" w:color="C0392B" w:sz="4"/>
            </w:tcBorders>
            <w:shd w:fill="C0392B" w:val="clear"/>
            <w:tcMar>
              <w:top w:type="dxa" w:w="100"/>
              <w:left w:type="dxa" w:w="150"/>
              <w:bottom w:type="dxa" w:w="100"/>
              <w:right w:type="dxa" w:w="150"/>
            </w:tcMar>
            <w:vAlign w:val="center"/>
          </w:tcPr>
          <w:p>
            <w:pPr>
              <w:spacing w:before="100" w:after="100"/>
              <w:jc w:val="center"/>
            </w:pPr>
            <w:r>
              <w:rPr>
                <w:rFonts w:ascii="Arial" w:cs="Arial" w:eastAsia="Arial" w:hAnsi="Arial"/>
                <w:b/>
                <w:bCs/>
                <w:color w:val="FFFFFF"/>
                <w:sz w:val="19"/>
                <w:szCs w:val="19"/>
              </w:rPr>
              <w:t xml:space="preserve">Rouge Haïti #C0392B</w:t>
            </w:r>
          </w:p>
        </w:tc>
        <w:tc>
          <w:tcPr>
            <w:tcW w:type="dxa" w:w="1872"/>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vAlign w:val="center"/>
          </w:tcPr>
          <w:p>
            <w:pPr>
              <w:spacing w:before="100" w:after="100"/>
              <w:jc w:val="center"/>
            </w:pPr>
            <w:r>
              <w:rPr>
                <w:rFonts w:ascii="Arial" w:cs="Arial" w:eastAsia="Arial" w:hAnsi="Arial"/>
                <w:b/>
                <w:bCs/>
                <w:color w:val="FFFFFF"/>
                <w:sz w:val="19"/>
                <w:szCs w:val="19"/>
              </w:rPr>
              <w:t xml:space="preserve">Bleu Océan #1A3A5C</w:t>
            </w:r>
          </w:p>
        </w:tc>
      </w:tr>
    </w:tbl>
    <w:p>
      <w:pPr>
        <w:spacing w:before="0" w:after="120"/>
      </w:pPr>
    </w:p>
    <w:p>
      <w:pPr>
        <w:pStyle w:val="Heading2"/>
        <w:spacing w:before="280" w:after="120"/>
      </w:pPr>
      <w:r>
        <w:rPr>
          <w:rFonts w:ascii="Arial" w:cs="Arial" w:eastAsia="Arial" w:hAnsi="Arial"/>
          <w:b/>
          <w:bCs/>
          <w:color w:val="2D7A4F"/>
          <w:sz w:val="28"/>
          <w:szCs w:val="28"/>
        </w:rPr>
        <w:t xml:space="preserve">4.2 Principes de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Principe</w:t>
            </w:r>
          </w:p>
        </w:tc>
        <w:tc>
          <w:tcPr>
            <w:tcW w:type="dxa" w:w="716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Description</w:t>
            </w:r>
          </w:p>
        </w:tc>
      </w:tr>
      <w:tr>
        <w:tc>
          <w:tcPr>
            <w:tcW w:type="dxa" w:w="22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Mobile-First</w:t>
            </w:r>
          </w:p>
        </w:tc>
        <w:tc>
          <w:tcPr>
            <w:tcW w:type="dxa" w:w="71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Conçu d'abord pour smartphones Android — vecteur principal d'accès internet en Haïti. Version desktop adaptée ensuite.</w:t>
            </w:r>
          </w:p>
        </w:tc>
      </w:tr>
      <w:tr>
        <w:tc>
          <w:tcPr>
            <w:tcW w:type="dxa" w:w="22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Accessibilité Low-Bandwidth</w:t>
            </w:r>
          </w:p>
        </w:tc>
        <w:tc>
          <w:tcPr>
            <w:tcW w:type="dxa" w:w="71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Images optimisées, mode texte simplifié, chargement progressif. Fonctionnel sur connexions 3G lentes.</w:t>
            </w:r>
          </w:p>
        </w:tc>
      </w:tr>
      <w:tr>
        <w:tc>
          <w:tcPr>
            <w:tcW w:type="dxa" w:w="22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Couleurs sémantiques</w:t>
            </w:r>
          </w:p>
        </w:tc>
        <w:tc>
          <w:tcPr>
            <w:tcW w:type="dxa" w:w="71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Chaque module utilise une couleur dédiée (rouge-santé, vert-conservation, or-économie) pour une navigation intuitive.</w:t>
            </w:r>
          </w:p>
        </w:tc>
      </w:tr>
      <w:tr>
        <w:tc>
          <w:tcPr>
            <w:tcW w:type="dxa" w:w="22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Iconographie universelle</w:t>
            </w:r>
          </w:p>
        </w:tc>
        <w:tc>
          <w:tcPr>
            <w:tcW w:type="dxa" w:w="71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Emojis et icônes standardisées pour une compréhension immédiate, même pour les lecteurs moins alphabétisés.</w:t>
            </w:r>
          </w:p>
        </w:tc>
      </w:tr>
      <w:tr>
        <w:tc>
          <w:tcPr>
            <w:tcW w:type="dxa" w:w="22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Hiérarchie d'information claire</w:t>
            </w:r>
          </w:p>
        </w:tc>
        <w:tc>
          <w:tcPr>
            <w:tcW w:type="dxa" w:w="71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Information la plus importante toujours visible sans défilement. Hiérarchie visuelle stricte entre titres, sous-titres et corps.</w:t>
            </w:r>
          </w:p>
        </w:tc>
      </w:tr>
      <w:tr>
        <w:tc>
          <w:tcPr>
            <w:tcW w:type="dxa" w:w="22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Typographie lisible</w:t>
            </w:r>
          </w:p>
        </w:tc>
        <w:tc>
          <w:tcPr>
            <w:tcW w:type="dxa" w:w="71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Police sans-sérif (Arial/Inter) pour le corps. Sérif pour les titres. Minimum 16px garantissant la lisibilité sur mobile.</w:t>
            </w:r>
          </w:p>
        </w:tc>
      </w:tr>
    </w:tbl>
    <w:p>
      <w:r>
        <w:br w:type="page"/>
      </w:r>
    </w:p>
    <w:p>
      <w:pPr>
        <w:pStyle w:val="Heading1"/>
        <w:pBdr>
          <w:bottom w:val="single" w:color="1A4A2E" w:sz="8" w:space="4"/>
        </w:pBdr>
        <w:spacing w:before="360" w:after="160"/>
      </w:pPr>
      <w:r>
        <w:rPr>
          <w:rFonts w:ascii="Arial" w:cs="Arial" w:eastAsia="Arial" w:hAnsi="Arial"/>
          <w:b/>
          <w:bCs/>
          <w:color w:val="1A4A2E"/>
          <w:sz w:val="36"/>
          <w:szCs w:val="36"/>
        </w:rPr>
        <w:t xml:space="preserve">5. Portails Spécialisés par Audience</w:t>
      </w:r>
    </w:p>
    <w:p>
      <w:pPr>
        <w:pStyle w:val="Heading2"/>
        <w:spacing w:before="280" w:after="120"/>
      </w:pPr>
      <w:r>
        <w:rPr>
          <w:rFonts w:ascii="Arial" w:cs="Arial" w:eastAsia="Arial" w:hAnsi="Arial"/>
          <w:b/>
          <w:bCs/>
          <w:color w:val="27AE60"/>
          <w:sz w:val="28"/>
          <w:szCs w:val="28"/>
        </w:rPr>
        <w:t xml:space="preserve">5.1 Portail — Ministère de l'Environnement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00"/>
              <w:left w:type="dxa" w:w="150"/>
              <w:bottom w:type="dxa" w:w="100"/>
              <w:right w:type="dxa" w:w="150"/>
            </w:tcMar>
            <w:vAlign w:val="center"/>
          </w:tcPr>
          <w:p>
            <w:pPr>
              <w:pStyle w:val="ListParagraph"/>
              <w:numPr>
                <w:ilvl w:val="0"/>
                <w:numId w:val="2"/>
              </w:numPr>
              <w:spacing w:before="60" w:after="60"/>
            </w:pPr>
            <w:r>
              <w:rPr>
                <w:rFonts w:ascii="Arial" w:cs="Arial" w:eastAsia="Arial" w:hAnsi="Arial"/>
                <w:color w:val="000000"/>
                <w:sz w:val="21"/>
                <w:szCs w:val="21"/>
              </w:rPr>
              <w:t xml:space="preserve">Carte interactive des espèces patrimoniales et menacées — statuts UICN géoréférencés</w:t>
            </w:r>
          </w:p>
          <w:p>
            <w:pPr>
              <w:pStyle w:val="ListParagraph"/>
              <w:numPr>
                <w:ilvl w:val="0"/>
                <w:numId w:val="2"/>
              </w:numPr>
              <w:spacing w:before="60" w:after="60"/>
            </w:pPr>
            <w:r>
              <w:rPr>
                <w:rFonts w:ascii="Arial" w:cs="Arial" w:eastAsia="Arial" w:hAnsi="Arial"/>
                <w:color w:val="000000"/>
                <w:sz w:val="21"/>
                <w:szCs w:val="21"/>
              </w:rPr>
              <w:t xml:space="preserve">Tableau de bord de la biodiversité PMAA — indicateurs de conservation en temps réel</w:t>
            </w:r>
          </w:p>
          <w:p>
            <w:pPr>
              <w:pStyle w:val="ListParagraph"/>
              <w:numPr>
                <w:ilvl w:val="0"/>
                <w:numId w:val="2"/>
              </w:numPr>
              <w:spacing w:before="60" w:after="60"/>
            </w:pPr>
            <w:r>
              <w:rPr>
                <w:rFonts w:ascii="Arial" w:cs="Arial" w:eastAsia="Arial" w:hAnsi="Arial"/>
                <w:color w:val="000000"/>
                <w:sz w:val="21"/>
                <w:szCs w:val="21"/>
              </w:rPr>
              <w:t xml:space="preserve">Registre des Plantes Patrimoniales Protégées avec niveaux de menace et statuts légaux</w:t>
            </w:r>
          </w:p>
          <w:p>
            <w:pPr>
              <w:pStyle w:val="ListParagraph"/>
              <w:numPr>
                <w:ilvl w:val="0"/>
                <w:numId w:val="2"/>
              </w:numPr>
              <w:spacing w:before="60" w:after="60"/>
            </w:pPr>
            <w:r>
              <w:rPr>
                <w:rFonts w:ascii="Arial" w:cs="Arial" w:eastAsia="Arial" w:hAnsi="Arial"/>
                <w:color w:val="000000"/>
                <w:sz w:val="21"/>
                <w:szCs w:val="21"/>
              </w:rPr>
              <w:t xml:space="preserve">Plan d'action SPANB (Stratégie et Plan d'Action Nationale pour la Biodiversité)</w:t>
            </w:r>
          </w:p>
          <w:p>
            <w:pPr>
              <w:pStyle w:val="ListParagraph"/>
              <w:numPr>
                <w:ilvl w:val="0"/>
                <w:numId w:val="2"/>
              </w:numPr>
              <w:spacing w:before="60" w:after="60"/>
            </w:pPr>
            <w:r>
              <w:rPr>
                <w:rFonts w:ascii="Arial" w:cs="Arial" w:eastAsia="Arial" w:hAnsi="Arial"/>
                <w:color w:val="000000"/>
                <w:sz w:val="21"/>
                <w:szCs w:val="21"/>
              </w:rPr>
              <w:t xml:space="preserve">Système d'alerte pour les espèces en déclin et les zones de déforestation critique</w:t>
            </w:r>
          </w:p>
          <w:p>
            <w:pPr>
              <w:pStyle w:val="ListParagraph"/>
              <w:numPr>
                <w:ilvl w:val="0"/>
                <w:numId w:val="2"/>
              </w:numPr>
              <w:spacing w:before="60" w:after="60"/>
            </w:pPr>
            <w:r>
              <w:rPr>
                <w:rFonts w:ascii="Arial" w:cs="Arial" w:eastAsia="Arial" w:hAnsi="Arial"/>
                <w:color w:val="000000"/>
                <w:sz w:val="21"/>
                <w:szCs w:val="21"/>
              </w:rPr>
              <w:t xml:space="preserve">Module de gestion des espèces invasives menaçant les PMAA natives du Grand Sud</w:t>
            </w:r>
          </w:p>
          <w:p>
            <w:pPr>
              <w:pStyle w:val="ListParagraph"/>
              <w:numPr>
                <w:ilvl w:val="0"/>
                <w:numId w:val="2"/>
              </w:numPr>
              <w:spacing w:before="60" w:after="60"/>
            </w:pPr>
            <w:r>
              <w:rPr>
                <w:rFonts w:ascii="Arial" w:cs="Arial" w:eastAsia="Arial" w:hAnsi="Arial"/>
                <w:color w:val="000000"/>
                <w:sz w:val="21"/>
                <w:szCs w:val="21"/>
              </w:rPr>
              <w:t xml:space="preserve">Rapports périodiques automatiques pour les obligations internationales (CBD, CMS, CITES)</w:t>
            </w:r>
          </w:p>
        </w:tc>
      </w:tr>
    </w:tbl>
    <w:p>
      <w:pPr>
        <w:spacing w:before="0" w:after="120"/>
      </w:pPr>
    </w:p>
    <w:p>
      <w:pPr>
        <w:pStyle w:val="Heading2"/>
        <w:spacing w:before="280" w:after="120"/>
      </w:pPr>
      <w:r>
        <w:rPr>
          <w:rFonts w:ascii="Arial" w:cs="Arial" w:eastAsia="Arial" w:hAnsi="Arial"/>
          <w:b/>
          <w:bCs/>
          <w:color w:val="E74C3c"/>
          <w:sz w:val="28"/>
          <w:szCs w:val="28"/>
        </w:rPr>
        <w:t xml:space="preserve">5.2 Portail — Ministère de la Santé Publique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E74C3c" w:sz="6"/>
              <w:bottom w:val="single" w:color="E74C3c" w:sz="6"/>
              <w:right w:val="single" w:color="E74C3c" w:sz="6"/>
            </w:tcBorders>
            <w:shd w:fill="FDE8E8" w:val="clear"/>
            <w:tcMar>
              <w:top w:type="dxa" w:w="100"/>
              <w:left w:type="dxa" w:w="150"/>
              <w:bottom w:type="dxa" w:w="100"/>
              <w:right w:type="dxa" w:w="150"/>
            </w:tcMar>
            <w:vAlign w:val="center"/>
          </w:tcPr>
          <w:p>
            <w:pPr>
              <w:pStyle w:val="ListParagraph"/>
              <w:numPr>
                <w:ilvl w:val="0"/>
                <w:numId w:val="2"/>
              </w:numPr>
              <w:spacing w:before="60" w:after="60"/>
            </w:pPr>
            <w:r>
              <w:rPr>
                <w:rFonts w:ascii="Arial" w:cs="Arial" w:eastAsia="Arial" w:hAnsi="Arial"/>
                <w:color w:val="000000"/>
                <w:sz w:val="21"/>
                <w:szCs w:val="21"/>
              </w:rPr>
              <w:t xml:space="preserve">Base de données des protocoles d'utilisation clinique validés scientifiquement (TRAMIL)</w:t>
            </w:r>
          </w:p>
          <w:p>
            <w:pPr>
              <w:pStyle w:val="ListParagraph"/>
              <w:numPr>
                <w:ilvl w:val="0"/>
                <w:numId w:val="2"/>
              </w:numPr>
              <w:spacing w:before="60" w:after="60"/>
            </w:pPr>
            <w:r>
              <w:rPr>
                <w:rFonts w:ascii="Arial" w:cs="Arial" w:eastAsia="Arial" w:hAnsi="Arial"/>
                <w:color w:val="000000"/>
                <w:sz w:val="21"/>
                <w:szCs w:val="21"/>
              </w:rPr>
              <w:t xml:space="preserve">Système d'alerte toxicologique — contre-indications, interactions médicamenteuses, surdosages</w:t>
            </w:r>
          </w:p>
          <w:p>
            <w:pPr>
              <w:pStyle w:val="ListParagraph"/>
              <w:numPr>
                <w:ilvl w:val="0"/>
                <w:numId w:val="2"/>
              </w:numPr>
              <w:spacing w:before="60" w:after="60"/>
            </w:pPr>
            <w:r>
              <w:rPr>
                <w:rFonts w:ascii="Arial" w:cs="Arial" w:eastAsia="Arial" w:hAnsi="Arial"/>
                <w:color w:val="000000"/>
                <w:sz w:val="21"/>
                <w:szCs w:val="21"/>
              </w:rPr>
              <w:t xml:space="preserve">Module Pharmacopée Nationale haïtienne en construction — contributions expertes</w:t>
            </w:r>
          </w:p>
          <w:p>
            <w:pPr>
              <w:pStyle w:val="ListParagraph"/>
              <w:numPr>
                <w:ilvl w:val="0"/>
                <w:numId w:val="2"/>
              </w:numPr>
              <w:spacing w:before="60" w:after="60"/>
            </w:pPr>
            <w:r>
              <w:rPr>
                <w:rFonts w:ascii="Arial" w:cs="Arial" w:eastAsia="Arial" w:hAnsi="Arial"/>
                <w:color w:val="000000"/>
                <w:sz w:val="21"/>
                <w:szCs w:val="21"/>
              </w:rPr>
              <w:t xml:space="preserve">Protocoles d'urgence PMAA pour catastrophes naturelles (séismes, cyclones, inondations)</w:t>
            </w:r>
          </w:p>
          <w:p>
            <w:pPr>
              <w:pStyle w:val="ListParagraph"/>
              <w:numPr>
                <w:ilvl w:val="0"/>
                <w:numId w:val="2"/>
              </w:numPr>
              <w:spacing w:before="60" w:after="60"/>
            </w:pPr>
            <w:r>
              <w:rPr>
                <w:rFonts w:ascii="Arial" w:cs="Arial" w:eastAsia="Arial" w:hAnsi="Arial"/>
                <w:color w:val="000000"/>
                <w:sz w:val="21"/>
                <w:szCs w:val="21"/>
              </w:rPr>
              <w:t xml:space="preserve">Fiches de formation pour professionnels de santé — usages thérapeutiques sécurisés</w:t>
            </w:r>
          </w:p>
          <w:p>
            <w:pPr>
              <w:pStyle w:val="ListParagraph"/>
              <w:numPr>
                <w:ilvl w:val="0"/>
                <w:numId w:val="2"/>
              </w:numPr>
              <w:spacing w:before="60" w:after="60"/>
            </w:pPr>
            <w:r>
              <w:rPr>
                <w:rFonts w:ascii="Arial" w:cs="Arial" w:eastAsia="Arial" w:hAnsi="Arial"/>
                <w:color w:val="000000"/>
                <w:sz w:val="21"/>
                <w:szCs w:val="21"/>
              </w:rPr>
              <w:t xml:space="preserve">Indicateurs épidémiologiques liés à l'usage des plantes — surveillance sanitaire</w:t>
            </w:r>
          </w:p>
          <w:p>
            <w:pPr>
              <w:pStyle w:val="ListParagraph"/>
              <w:numPr>
                <w:ilvl w:val="0"/>
                <w:numId w:val="2"/>
              </w:numPr>
              <w:spacing w:before="60" w:after="60"/>
            </w:pPr>
            <w:r>
              <w:rPr>
                <w:rFonts w:ascii="Arial" w:cs="Arial" w:eastAsia="Arial" w:hAnsi="Arial"/>
                <w:color w:val="000000"/>
                <w:sz w:val="21"/>
                <w:szCs w:val="21"/>
              </w:rPr>
              <w:t xml:space="preserve">Formulaire de signalement d'intoxications et d'effets indésirables aux PMAA</w:t>
            </w:r>
          </w:p>
        </w:tc>
      </w:tr>
    </w:tbl>
    <w:p>
      <w:pPr>
        <w:spacing w:before="0" w:after="120"/>
      </w:pPr>
    </w:p>
    <w:p>
      <w:pPr>
        <w:pStyle w:val="Heading2"/>
        <w:spacing w:before="280" w:after="120"/>
      </w:pPr>
      <w:r>
        <w:rPr>
          <w:rFonts w:ascii="Arial" w:cs="Arial" w:eastAsia="Arial" w:hAnsi="Arial"/>
          <w:b/>
          <w:bCs/>
          <w:color w:val="F39C12"/>
          <w:sz w:val="28"/>
          <w:szCs w:val="28"/>
        </w:rPr>
        <w:t xml:space="preserve">5.3 Portail — Ministère de l'Agriculture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EF5E0" w:val="clear"/>
            <w:tcMar>
              <w:top w:type="dxa" w:w="100"/>
              <w:left w:type="dxa" w:w="150"/>
              <w:bottom w:type="dxa" w:w="100"/>
              <w:right w:type="dxa" w:w="150"/>
            </w:tcMar>
            <w:vAlign w:val="center"/>
          </w:tcPr>
          <w:p>
            <w:pPr>
              <w:pStyle w:val="ListParagraph"/>
              <w:numPr>
                <w:ilvl w:val="0"/>
                <w:numId w:val="2"/>
              </w:numPr>
              <w:spacing w:before="60" w:after="60"/>
            </w:pPr>
            <w:r>
              <w:rPr>
                <w:rFonts w:ascii="Arial" w:cs="Arial" w:eastAsia="Arial" w:hAnsi="Arial"/>
                <w:color w:val="000000"/>
                <w:sz w:val="21"/>
                <w:szCs w:val="21"/>
              </w:rPr>
              <w:t xml:space="preserve">Guides culturaux détaillés pour 200+ espèces PMAA prioritaires à mettre en production</w:t>
            </w:r>
          </w:p>
          <w:p>
            <w:pPr>
              <w:pStyle w:val="ListParagraph"/>
              <w:numPr>
                <w:ilvl w:val="0"/>
                <w:numId w:val="2"/>
              </w:numPr>
              <w:spacing w:before="60" w:after="60"/>
            </w:pPr>
            <w:r>
              <w:rPr>
                <w:rFonts w:ascii="Arial" w:cs="Arial" w:eastAsia="Arial" w:hAnsi="Arial"/>
                <w:color w:val="000000"/>
                <w:sz w:val="21"/>
                <w:szCs w:val="21"/>
              </w:rPr>
              <w:t xml:space="preserve">Systèmes d'agroforesterie intégrant les PMAA dans les exploitations existantes</w:t>
            </w:r>
          </w:p>
          <w:p>
            <w:pPr>
              <w:pStyle w:val="ListParagraph"/>
              <w:numPr>
                <w:ilvl w:val="0"/>
                <w:numId w:val="2"/>
              </w:numPr>
              <w:spacing w:before="60" w:after="60"/>
            </w:pPr>
            <w:r>
              <w:rPr>
                <w:rFonts w:ascii="Arial" w:cs="Arial" w:eastAsia="Arial" w:hAnsi="Arial"/>
                <w:color w:val="000000"/>
                <w:sz w:val="21"/>
                <w:szCs w:val="21"/>
              </w:rPr>
              <w:t xml:space="preserve">Registre des pépinières spécialisées et banques de semences nationales</w:t>
            </w:r>
          </w:p>
          <w:p>
            <w:pPr>
              <w:pStyle w:val="ListParagraph"/>
              <w:numPr>
                <w:ilvl w:val="0"/>
                <w:numId w:val="2"/>
              </w:numPr>
              <w:spacing w:before="60" w:after="60"/>
            </w:pPr>
            <w:r>
              <w:rPr>
                <w:rFonts w:ascii="Arial" w:cs="Arial" w:eastAsia="Arial" w:hAnsi="Arial"/>
                <w:color w:val="000000"/>
                <w:sz w:val="21"/>
                <w:szCs w:val="21"/>
              </w:rPr>
              <w:t xml:space="preserve">Programme de reboisement avec espèces médicinales natives — suivi des plantations</w:t>
            </w:r>
          </w:p>
          <w:p>
            <w:pPr>
              <w:pStyle w:val="ListParagraph"/>
              <w:numPr>
                <w:ilvl w:val="0"/>
                <w:numId w:val="2"/>
              </w:numPr>
              <w:spacing w:before="60" w:after="60"/>
            </w:pPr>
            <w:r>
              <w:rPr>
                <w:rFonts w:ascii="Arial" w:cs="Arial" w:eastAsia="Arial" w:hAnsi="Arial"/>
                <w:color w:val="000000"/>
                <w:sz w:val="21"/>
                <w:szCs w:val="21"/>
              </w:rPr>
              <w:t xml:space="preserve">Certification des producteurs de PMAA — cahiers des charges et normes qualité locale</w:t>
            </w:r>
          </w:p>
          <w:p>
            <w:pPr>
              <w:pStyle w:val="ListParagraph"/>
              <w:numPr>
                <w:ilvl w:val="0"/>
                <w:numId w:val="2"/>
              </w:numPr>
              <w:spacing w:before="60" w:after="60"/>
            </w:pPr>
            <w:r>
              <w:rPr>
                <w:rFonts w:ascii="Arial" w:cs="Arial" w:eastAsia="Arial" w:hAnsi="Arial"/>
                <w:color w:val="000000"/>
                <w:sz w:val="21"/>
                <w:szCs w:val="21"/>
              </w:rPr>
              <w:t xml:space="preserve">Module sécurité alimentaire — plantes alicaments à double vocation nutritionnelle</w:t>
            </w:r>
          </w:p>
          <w:p>
            <w:pPr>
              <w:pStyle w:val="ListParagraph"/>
              <w:numPr>
                <w:ilvl w:val="0"/>
                <w:numId w:val="2"/>
              </w:numPr>
              <w:spacing w:before="60" w:after="60"/>
            </w:pPr>
            <w:r>
              <w:rPr>
                <w:rFonts w:ascii="Arial" w:cs="Arial" w:eastAsia="Arial" w:hAnsi="Arial"/>
                <w:color w:val="000000"/>
                <w:sz w:val="21"/>
                <w:szCs w:val="21"/>
              </w:rPr>
              <w:t xml:space="preserve">Calendriers agricoles et conditions pédoclimatiques optimales par espèce</w:t>
            </w:r>
          </w:p>
        </w:tc>
      </w:tr>
    </w:tbl>
    <w:p>
      <w:pPr>
        <w:spacing w:before="0" w:after="120"/>
      </w:pPr>
    </w:p>
    <w:p>
      <w:pPr>
        <w:pStyle w:val="Heading2"/>
        <w:spacing w:before="280" w:after="120"/>
      </w:pPr>
      <w:r>
        <w:rPr>
          <w:rFonts w:ascii="Arial" w:cs="Arial" w:eastAsia="Arial" w:hAnsi="Arial"/>
          <w:b/>
          <w:bCs/>
          <w:color w:val="2980B9"/>
          <w:sz w:val="28"/>
          <w:szCs w:val="28"/>
        </w:rPr>
        <w:t xml:space="preserve">5.4 Portail — Ministère du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6"/>
              <w:left w:val="single" w:color="2980B9" w:sz="6"/>
              <w:bottom w:val="single" w:color="2980B9" w:sz="6"/>
              <w:right w:val="single" w:color="2980B9" w:sz="6"/>
            </w:tcBorders>
            <w:shd w:fill="E8F0FB" w:val="clear"/>
            <w:tcMar>
              <w:top w:type="dxa" w:w="100"/>
              <w:left w:type="dxa" w:w="150"/>
              <w:bottom w:type="dxa" w:w="100"/>
              <w:right w:type="dxa" w:w="150"/>
            </w:tcMar>
            <w:vAlign w:val="center"/>
          </w:tcPr>
          <w:p>
            <w:pPr>
              <w:pStyle w:val="ListParagraph"/>
              <w:numPr>
                <w:ilvl w:val="0"/>
                <w:numId w:val="2"/>
              </w:numPr>
              <w:spacing w:before="60" w:after="60"/>
            </w:pPr>
            <w:r>
              <w:rPr>
                <w:rFonts w:ascii="Arial" w:cs="Arial" w:eastAsia="Arial" w:hAnsi="Arial"/>
                <w:color w:val="000000"/>
                <w:sz w:val="21"/>
                <w:szCs w:val="21"/>
              </w:rPr>
              <w:t xml:space="preserve">Registre national des entreprises PMAA — producteurs, transformateurs, exportateurs</w:t>
            </w:r>
          </w:p>
          <w:p>
            <w:pPr>
              <w:pStyle w:val="ListParagraph"/>
              <w:numPr>
                <w:ilvl w:val="0"/>
                <w:numId w:val="2"/>
              </w:numPr>
              <w:spacing w:before="60" w:after="60"/>
            </w:pPr>
            <w:r>
              <w:rPr>
                <w:rFonts w:ascii="Arial" w:cs="Arial" w:eastAsia="Arial" w:hAnsi="Arial"/>
                <w:color w:val="000000"/>
                <w:sz w:val="21"/>
                <w:szCs w:val="21"/>
              </w:rPr>
              <w:t xml:space="preserve">Guide des certifications internationales : ISO, Ecocert, Cosmos, USDA Organic, Fair Trade</w:t>
            </w:r>
          </w:p>
          <w:p>
            <w:pPr>
              <w:pStyle w:val="ListParagraph"/>
              <w:numPr>
                <w:ilvl w:val="0"/>
                <w:numId w:val="2"/>
              </w:numPr>
              <w:spacing w:before="60" w:after="60"/>
            </w:pPr>
            <w:r>
              <w:rPr>
                <w:rFonts w:ascii="Arial" w:cs="Arial" w:eastAsia="Arial" w:hAnsi="Arial"/>
                <w:color w:val="000000"/>
                <w:sz w:val="21"/>
                <w:szCs w:val="21"/>
              </w:rPr>
              <w:t xml:space="preserve">Tableau de bord d'accès aux marchés — USA, Canada, UE, Caraïbes, diaspora haïtienne</w:t>
            </w:r>
          </w:p>
          <w:p>
            <w:pPr>
              <w:pStyle w:val="ListParagraph"/>
              <w:numPr>
                <w:ilvl w:val="0"/>
                <w:numId w:val="2"/>
              </w:numPr>
              <w:spacing w:before="60" w:after="60"/>
            </w:pPr>
            <w:r>
              <w:rPr>
                <w:rFonts w:ascii="Arial" w:cs="Arial" w:eastAsia="Arial" w:hAnsi="Arial"/>
                <w:color w:val="000000"/>
                <w:sz w:val="21"/>
                <w:szCs w:val="21"/>
              </w:rPr>
              <w:t xml:space="preserve">Développement de la marque nationale "Plantes d'Haïti" — certification d'origine</w:t>
            </w:r>
          </w:p>
          <w:p>
            <w:pPr>
              <w:pStyle w:val="ListParagraph"/>
              <w:numPr>
                <w:ilvl w:val="0"/>
                <w:numId w:val="2"/>
              </w:numPr>
              <w:spacing w:before="60" w:after="60"/>
            </w:pPr>
            <w:r>
              <w:rPr>
                <w:rFonts w:ascii="Arial" w:cs="Arial" w:eastAsia="Arial" w:hAnsi="Arial"/>
                <w:color w:val="000000"/>
                <w:sz w:val="21"/>
                <w:szCs w:val="21"/>
              </w:rPr>
              <w:t xml:space="preserve">Incubateur virtuel pour TPME du secteur phytothérapie, cosmétique et nutraceutique</w:t>
            </w:r>
          </w:p>
          <w:p>
            <w:pPr>
              <w:pStyle w:val="ListParagraph"/>
              <w:numPr>
                <w:ilvl w:val="0"/>
                <w:numId w:val="2"/>
              </w:numPr>
              <w:spacing w:before="60" w:after="60"/>
            </w:pPr>
            <w:r>
              <w:rPr>
                <w:rFonts w:ascii="Arial" w:cs="Arial" w:eastAsia="Arial" w:hAnsi="Arial"/>
                <w:color w:val="000000"/>
                <w:sz w:val="21"/>
                <w:szCs w:val="21"/>
              </w:rPr>
              <w:t xml:space="preserve">Base de données des acheteurs internationaux et salons professionnels à cibler</w:t>
            </w:r>
          </w:p>
          <w:p>
            <w:pPr>
              <w:pStyle w:val="ListParagraph"/>
              <w:numPr>
                <w:ilvl w:val="0"/>
                <w:numId w:val="2"/>
              </w:numPr>
              <w:spacing w:before="60" w:after="60"/>
            </w:pPr>
            <w:r>
              <w:rPr>
                <w:rFonts w:ascii="Arial" w:cs="Arial" w:eastAsia="Arial" w:hAnsi="Arial"/>
                <w:color w:val="000000"/>
                <w:sz w:val="21"/>
                <w:szCs w:val="21"/>
              </w:rPr>
              <w:t xml:space="preserve">Module e-commerce pour vente directe à la diaspora haïtienne (USA, Canada, France)</w:t>
            </w:r>
          </w:p>
        </w:tc>
      </w:tr>
    </w:tbl>
    <w:p>
      <w:r>
        <w:br w:type="page"/>
      </w:r>
    </w:p>
    <w:p>
      <w:pPr>
        <w:pStyle w:val="Heading1"/>
        <w:pBdr>
          <w:bottom w:val="single" w:color="1A4A2E" w:sz="8" w:space="4"/>
        </w:pBdr>
        <w:spacing w:before="360" w:after="160"/>
      </w:pPr>
      <w:r>
        <w:rPr>
          <w:rFonts w:ascii="Arial" w:cs="Arial" w:eastAsia="Arial" w:hAnsi="Arial"/>
          <w:b/>
          <w:bCs/>
          <w:color w:val="1A4A2E"/>
          <w:sz w:val="36"/>
          <w:szCs w:val="36"/>
        </w:rPr>
        <w:t xml:space="preserve">6. Module Encyclopédie Botanique — Structure des Fiches Plantes</w:t>
      </w:r>
    </w:p>
    <w:p>
      <w:pPr>
        <w:pStyle w:val="Heading2"/>
        <w:spacing w:before="280" w:after="120"/>
      </w:pPr>
      <w:r>
        <w:rPr>
          <w:rFonts w:ascii="Arial" w:cs="Arial" w:eastAsia="Arial" w:hAnsi="Arial"/>
          <w:b/>
          <w:bCs/>
          <w:color w:val="2D7A4F"/>
          <w:sz w:val="28"/>
          <w:szCs w:val="28"/>
        </w:rPr>
        <w:t xml:space="preserve">6.1 Structure d'une Fiche Plante Trilingue (FR / EN / KR)</w:t>
      </w:r>
    </w:p>
    <w:p>
      <w:pPr>
        <w:spacing w:before="80" w:after="120"/>
        <w:jc w:val="left"/>
      </w:pPr>
      <w:r>
        <w:rPr>
          <w:rFonts w:ascii="Arial" w:cs="Arial" w:eastAsia="Arial" w:hAnsi="Arial"/>
          <w:color w:val="1A1A2E"/>
          <w:sz w:val="22"/>
          <w:szCs w:val="22"/>
        </w:rPr>
        <w:t xml:space="preserve">Chaque plante dispose d'une fiche standardisée disponible en français, anglais et créole haïtien, structurée en six sections complémentaires :</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Section</w:t>
            </w:r>
          </w:p>
        </w:tc>
        <w:tc>
          <w:tcPr>
            <w:tcW w:type="dxa" w:w="30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Contenu</w:t>
            </w:r>
          </w:p>
        </w:tc>
        <w:tc>
          <w:tcPr>
            <w:tcW w:type="dxa" w:w="476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Données spécifiques</w:t>
            </w:r>
          </w:p>
        </w:tc>
      </w:tr>
      <w:tr>
        <w:tc>
          <w:tcPr>
            <w:tcW w:type="dxa" w:w="16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Identification</w:t>
            </w:r>
          </w:p>
        </w:tc>
        <w:tc>
          <w:tcPr>
            <w:tcW w:type="dxa" w:w="30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Noms &amp; Classification</w:t>
            </w:r>
          </w:p>
        </w:tc>
        <w:tc>
          <w:tcPr>
            <w:tcW w:type="dxa" w:w="47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Nom FR/EN/KR · Noms créoles locaux · Nom scientifique · Famille botanique · Synonymes</w:t>
            </w:r>
          </w:p>
        </w:tc>
      </w:tr>
      <w:tr>
        <w:tc>
          <w:tcPr>
            <w:tcW w:type="dxa" w:w="1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Géographie</w:t>
            </w:r>
          </w:p>
        </w:tc>
        <w:tc>
          <w:tcPr>
            <w:tcW w:type="dxa" w:w="3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Distribution &amp; Habitat</w:t>
            </w:r>
          </w:p>
        </w:tc>
        <w:tc>
          <w:tcPr>
            <w:tcW w:type="dxa" w:w="47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Carte SIG interactive · Communes Grand Sud · Altitude · Écosystème · Stations JBC</w:t>
            </w:r>
          </w:p>
        </w:tc>
      </w:tr>
      <w:tr>
        <w:tc>
          <w:tcPr>
            <w:tcW w:type="dxa" w:w="16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Conservation</w:t>
            </w:r>
          </w:p>
        </w:tc>
        <w:tc>
          <w:tcPr>
            <w:tcW w:type="dxa" w:w="30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Statut &amp; Menaces</w:t>
            </w:r>
          </w:p>
        </w:tc>
        <w:tc>
          <w:tcPr>
            <w:tcW w:type="dxa" w:w="47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Catégorie UICN · Endémisme · Menaces identifiées · Tendance population · Actions</w:t>
            </w:r>
          </w:p>
        </w:tc>
      </w:tr>
      <w:tr>
        <w:tc>
          <w:tcPr>
            <w:tcW w:type="dxa" w:w="1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Phytochimie</w:t>
            </w:r>
          </w:p>
        </w:tc>
        <w:tc>
          <w:tcPr>
            <w:tcW w:type="dxa" w:w="3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Composés Actifs</w:t>
            </w:r>
          </w:p>
        </w:tc>
        <w:tc>
          <w:tcPr>
            <w:tcW w:type="dxa" w:w="47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Flavonoïdes · Alcaloïdes · Terpènes · HE · Études PubMed / TRAMIL / OMS</w:t>
            </w:r>
          </w:p>
        </w:tc>
      </w:tr>
      <w:tr>
        <w:tc>
          <w:tcPr>
            <w:tcW w:type="dxa" w:w="16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Usages Thérapeutiques</w:t>
            </w:r>
          </w:p>
        </w:tc>
        <w:tc>
          <w:tcPr>
            <w:tcW w:type="dxa" w:w="30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Applications Médicales</w:t>
            </w:r>
          </w:p>
        </w:tc>
        <w:tc>
          <w:tcPr>
            <w:tcW w:type="dxa" w:w="47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Maladies traitées · Parties utilisées · Préparations · Dosages · Contre-indications</w:t>
            </w:r>
          </w:p>
        </w:tc>
      </w:tr>
      <w:tr>
        <w:tc>
          <w:tcPr>
            <w:tcW w:type="dxa" w:w="1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Savoir Traditionnel</w:t>
            </w:r>
          </w:p>
        </w:tc>
        <w:tc>
          <w:tcPr>
            <w:tcW w:type="dxa" w:w="3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Ethnobotanique</w:t>
            </w:r>
          </w:p>
        </w:tc>
        <w:tc>
          <w:tcPr>
            <w:tcW w:type="dxa" w:w="47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Usages guérisseurs locaux · Noms vernaculaires · Préparations traditionnelles · Rites</w:t>
            </w:r>
          </w:p>
        </w:tc>
      </w:tr>
    </w:tbl>
    <w:p>
      <w:pPr>
        <w:spacing w:before="0" w:after="120"/>
      </w:pPr>
    </w:p>
    <w:p>
      <w:pPr>
        <w:pStyle w:val="Heading2"/>
        <w:spacing w:before="280" w:after="120"/>
      </w:pPr>
      <w:r>
        <w:rPr>
          <w:rFonts w:ascii="Arial" w:cs="Arial" w:eastAsia="Arial" w:hAnsi="Arial"/>
          <w:b/>
          <w:bCs/>
          <w:color w:val="2D7A4F"/>
          <w:sz w:val="28"/>
          <w:szCs w:val="28"/>
        </w:rPr>
        <w:t xml:space="preserve">6.2 Système de Recherche Avancée Trilingue</w:t>
      </w:r>
    </w:p>
    <w:p>
      <w:pPr>
        <w:spacing w:before="80" w:after="120"/>
        <w:jc w:val="left"/>
      </w:pPr>
      <w:r>
        <w:rPr>
          <w:rFonts w:ascii="Arial" w:cs="Arial" w:eastAsia="Arial" w:hAnsi="Arial"/>
          <w:color w:val="1A1A2E"/>
          <w:sz w:val="22"/>
          <w:szCs w:val="22"/>
        </w:rPr>
        <w:t xml:space="preserve">Le moteur de recherche de l'encyclopédie propose les filtres combinables suivants — avec recherche simultanée en créole, français et anglais :</w:t>
      </w:r>
    </w:p>
    <w:p>
      <w:pPr>
        <w:spacing w:before="0" w:after="120"/>
      </w:pPr>
    </w:p>
    <w:p>
      <w:pPr>
        <w:pStyle w:val="ListParagraph"/>
        <w:numPr>
          <w:ilvl w:val="0"/>
          <w:numId w:val="2"/>
        </w:numPr>
        <w:spacing w:before="60" w:after="60"/>
      </w:pPr>
      <w:r>
        <w:rPr>
          <w:rFonts w:ascii="Arial" w:cs="Arial" w:eastAsia="Arial" w:hAnsi="Arial"/>
          <w:color w:val="000000"/>
          <w:sz w:val="21"/>
          <w:szCs w:val="21"/>
        </w:rPr>
        <w:t xml:space="preserve">Par type : Médicinale · Aromatique · Alimentaire · Alicament (double vocation)</w:t>
      </w:r>
    </w:p>
    <w:p>
      <w:pPr>
        <w:pStyle w:val="ListParagraph"/>
        <w:numPr>
          <w:ilvl w:val="0"/>
          <w:numId w:val="2"/>
        </w:numPr>
        <w:spacing w:before="60" w:after="60"/>
      </w:pPr>
      <w:r>
        <w:rPr>
          <w:rFonts w:ascii="Arial" w:cs="Arial" w:eastAsia="Arial" w:hAnsi="Arial"/>
          <w:color w:val="000000"/>
          <w:sz w:val="21"/>
          <w:szCs w:val="21"/>
        </w:rPr>
        <w:t xml:space="preserve">Par statut de conservation : Endémique · Menacée UICN · Prioritaire JBC · Commune</w:t>
      </w:r>
    </w:p>
    <w:p>
      <w:pPr>
        <w:pStyle w:val="ListParagraph"/>
        <w:numPr>
          <w:ilvl w:val="0"/>
          <w:numId w:val="2"/>
        </w:numPr>
        <w:spacing w:before="60" w:after="60"/>
      </w:pPr>
      <w:r>
        <w:rPr>
          <w:rFonts w:ascii="Arial" w:cs="Arial" w:eastAsia="Arial" w:hAnsi="Arial"/>
          <w:color w:val="000000"/>
          <w:sz w:val="21"/>
          <w:szCs w:val="21"/>
        </w:rPr>
        <w:t xml:space="preserve">Par maladie ou système traité : 8 catégories thérapeutiques (voir Section 7)</w:t>
      </w:r>
    </w:p>
    <w:p>
      <w:pPr>
        <w:pStyle w:val="ListParagraph"/>
        <w:numPr>
          <w:ilvl w:val="0"/>
          <w:numId w:val="2"/>
        </w:numPr>
        <w:spacing w:before="60" w:after="60"/>
      </w:pPr>
      <w:r>
        <w:rPr>
          <w:rFonts w:ascii="Arial" w:cs="Arial" w:eastAsia="Arial" w:hAnsi="Arial"/>
          <w:color w:val="000000"/>
          <w:sz w:val="21"/>
          <w:szCs w:val="21"/>
        </w:rPr>
        <w:t xml:space="preserve">Par usage économique : Huile essentielle · Cosmétique · Nutraceutique · Export</w:t>
      </w:r>
    </w:p>
    <w:p>
      <w:pPr>
        <w:pStyle w:val="ListParagraph"/>
        <w:numPr>
          <w:ilvl w:val="0"/>
          <w:numId w:val="2"/>
        </w:numPr>
        <w:spacing w:before="60" w:after="60"/>
      </w:pPr>
      <w:r>
        <w:rPr>
          <w:rFonts w:ascii="Arial" w:cs="Arial" w:eastAsia="Arial" w:hAnsi="Arial"/>
          <w:color w:val="000000"/>
          <w:sz w:val="21"/>
          <w:szCs w:val="21"/>
        </w:rPr>
        <w:t xml:space="preserve">Par zone géographique : Commune du Grand Sud · Altitude · Type d'écosystème</w:t>
      </w:r>
    </w:p>
    <w:p>
      <w:pPr>
        <w:pStyle w:val="ListParagraph"/>
        <w:numPr>
          <w:ilvl w:val="0"/>
          <w:numId w:val="2"/>
        </w:numPr>
        <w:spacing w:before="60" w:after="60"/>
      </w:pPr>
      <w:r>
        <w:rPr>
          <w:rFonts w:ascii="Arial" w:cs="Arial" w:eastAsia="Arial" w:hAnsi="Arial"/>
          <w:color w:val="000000"/>
          <w:sz w:val="21"/>
          <w:szCs w:val="21"/>
        </w:rPr>
        <w:t xml:space="preserve">Par langue du nom commun : Recherche en créole, français ou anglais simultanément</w:t>
      </w:r>
    </w:p>
    <w:p>
      <w:r>
        <w:br w:type="page"/>
      </w:r>
    </w:p>
    <w:p>
      <w:pPr>
        <w:pStyle w:val="Heading1"/>
        <w:pBdr>
          <w:bottom w:val="single" w:color="1A4A2E" w:sz="8" w:space="4"/>
        </w:pBdr>
        <w:spacing w:before="360" w:after="160"/>
      </w:pPr>
      <w:r>
        <w:rPr>
          <w:rFonts w:ascii="Arial" w:cs="Arial" w:eastAsia="Arial" w:hAnsi="Arial"/>
          <w:b/>
          <w:bCs/>
          <w:color w:val="1A4A2E"/>
          <w:sz w:val="36"/>
          <w:szCs w:val="36"/>
        </w:rPr>
        <w:t xml:space="preserve">7. Module Santé — Plantes &amp; Maladies</w:t>
      </w:r>
    </w:p>
    <w:p>
      <w:pPr>
        <w:spacing w:before="80" w:after="120"/>
        <w:jc w:val="left"/>
      </w:pPr>
      <w:r>
        <w:rPr>
          <w:rFonts w:ascii="Arial" w:cs="Arial" w:eastAsia="Arial" w:hAnsi="Arial"/>
          <w:color w:val="1A1A2E"/>
          <w:sz w:val="22"/>
          <w:szCs w:val="22"/>
        </w:rPr>
        <w:t xml:space="preserve">Le module Santé crée un lien systématique et validé scientifiquement entre chaque plante PMAA et les conditions de santé qu'elle peut traiter. Ce module répond directement aux besoins du Ministère de la Santé Publique, des naturopathes et du grand public.</w:t>
      </w:r>
    </w:p>
    <w:p>
      <w:pPr>
        <w:spacing w:before="0" w:after="120"/>
      </w:pPr>
    </w:p>
    <w:p>
      <w:pPr>
        <w:pStyle w:val="Heading2"/>
        <w:spacing w:before="280" w:after="120"/>
      </w:pPr>
      <w:r>
        <w:rPr>
          <w:rFonts w:ascii="Arial" w:cs="Arial" w:eastAsia="Arial" w:hAnsi="Arial"/>
          <w:b/>
          <w:bCs/>
          <w:color w:val="2D7A4F"/>
          <w:sz w:val="28"/>
          <w:szCs w:val="28"/>
        </w:rPr>
        <w:t xml:space="preserve">7.1 Les 8 Catégories Thérapeutiques Couvertes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400"/>
        <w:gridCol w:w="3660"/>
      </w:tblGrid>
      <w:tr>
        <w:tc>
          <w:tcPr>
            <w:tcW w:type="dxa" w:w="500"/>
            <w:tcBorders>
              <w:top w:val="single" w:color="C0392B" w:sz="5"/>
              <w:left w:val="single" w:color="C0392B" w:sz="5"/>
              <w:bottom w:val="single" w:color="C0392B" w:sz="5"/>
              <w:right w:val="single" w:color="C0392B" w:sz="5"/>
            </w:tcBorders>
            <w:shd w:fill="C0392B"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w:t>
            </w:r>
          </w:p>
        </w:tc>
        <w:tc>
          <w:tcPr>
            <w:tcW w:type="dxa" w:w="2800"/>
            <w:tcBorders>
              <w:top w:val="single" w:color="C0392B" w:sz="5"/>
              <w:left w:val="single" w:color="C0392B" w:sz="5"/>
              <w:bottom w:val="single" w:color="C0392B" w:sz="5"/>
              <w:right w:val="single" w:color="C0392B" w:sz="5"/>
            </w:tcBorders>
            <w:shd w:fill="C0392B"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Catégorie</w:t>
            </w:r>
          </w:p>
        </w:tc>
        <w:tc>
          <w:tcPr>
            <w:tcW w:type="dxa" w:w="2400"/>
            <w:tcBorders>
              <w:top w:val="single" w:color="C0392B" w:sz="5"/>
              <w:left w:val="single" w:color="C0392B" w:sz="5"/>
              <w:bottom w:val="single" w:color="C0392B" w:sz="5"/>
              <w:right w:val="single" w:color="C0392B" w:sz="5"/>
            </w:tcBorders>
            <w:shd w:fill="C0392B"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Maladies couvertes</w:t>
            </w:r>
          </w:p>
        </w:tc>
        <w:tc>
          <w:tcPr>
            <w:tcW w:type="dxa" w:w="3660"/>
            <w:tcBorders>
              <w:top w:val="single" w:color="C0392B" w:sz="5"/>
              <w:left w:val="single" w:color="C0392B" w:sz="5"/>
              <w:bottom w:val="single" w:color="C0392B" w:sz="5"/>
              <w:right w:val="single" w:color="C0392B" w:sz="5"/>
            </w:tcBorders>
            <w:shd w:fill="C0392B"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Plantes phares haïtiennes</w:t>
            </w:r>
          </w:p>
        </w:tc>
      </w:tr>
      <w:tr>
        <w:tc>
          <w:tcPr>
            <w:tcW w:type="dxa" w:w="5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b/>
                <w:bCs/>
                <w:color w:val="C0392B"/>
                <w:sz w:val="19"/>
                <w:szCs w:val="19"/>
              </w:rPr>
              <w:t xml:space="preserve">C1</w:t>
            </w:r>
          </w:p>
        </w:tc>
        <w:tc>
          <w:tcPr>
            <w:tcW w:type="dxa" w:w="28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Infections &amp; Maladies Tropicales</w:t>
            </w:r>
          </w:p>
        </w:tc>
        <w:tc>
          <w:tcPr>
            <w:tcW w:type="dxa" w:w="24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Fièvre, paludisme, dengue, grippe, infections (127 plantes)</w:t>
            </w:r>
          </w:p>
        </w:tc>
        <w:tc>
          <w:tcPr>
            <w:tcW w:type="dxa" w:w="366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2D7A4F"/>
                <w:sz w:val="19"/>
                <w:szCs w:val="19"/>
              </w:rPr>
              <w:t xml:space="preserve">Citronnelle, Eucalyptus, Neem, Quinine haïtienne</w:t>
            </w:r>
          </w:p>
        </w:tc>
      </w:tr>
      <w:tr>
        <w:tc>
          <w:tcPr>
            <w:tcW w:type="dxa" w:w="5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C0392B"/>
                <w:sz w:val="19"/>
                <w:szCs w:val="19"/>
              </w:rPr>
              <w:t xml:space="preserve">C2</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Maladies Chroniques Cardiovasculaires</w:t>
            </w:r>
          </w:p>
        </w:tc>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Diabète, hypertension, cholestérol, cœur (94 plantes)</w:t>
            </w:r>
          </w:p>
        </w:tc>
        <w:tc>
          <w:tcPr>
            <w:tcW w:type="dxa" w:w="36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2D7A4F"/>
                <w:sz w:val="19"/>
                <w:szCs w:val="19"/>
              </w:rPr>
              <w:t xml:space="preserve">Gingembre, Curcuma, Ail, Moringa, Corossol</w:t>
            </w:r>
          </w:p>
        </w:tc>
      </w:tr>
      <w:tr>
        <w:tc>
          <w:tcPr>
            <w:tcW w:type="dxa" w:w="5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b/>
                <w:bCs/>
                <w:color w:val="C0392B"/>
                <w:sz w:val="19"/>
                <w:szCs w:val="19"/>
              </w:rPr>
              <w:t xml:space="preserve">C3</w:t>
            </w:r>
          </w:p>
        </w:tc>
        <w:tc>
          <w:tcPr>
            <w:tcW w:type="dxa" w:w="28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Système Digestif &amp; Parasitoses</w:t>
            </w:r>
          </w:p>
        </w:tc>
        <w:tc>
          <w:tcPr>
            <w:tcW w:type="dxa" w:w="24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Diarrhée, gastrite, vers intestinaux, dyspepsie (108 plantes)</w:t>
            </w:r>
          </w:p>
        </w:tc>
        <w:tc>
          <w:tcPr>
            <w:tcW w:type="dxa" w:w="366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2D7A4F"/>
                <w:sz w:val="19"/>
                <w:szCs w:val="19"/>
              </w:rPr>
              <w:t xml:space="preserve">Papayer, Goyavier, Curcuma, Menthe haïtienne</w:t>
            </w:r>
          </w:p>
        </w:tc>
      </w:tr>
      <w:tr>
        <w:tc>
          <w:tcPr>
            <w:tcW w:type="dxa" w:w="5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C0392B"/>
                <w:sz w:val="19"/>
                <w:szCs w:val="19"/>
              </w:rPr>
              <w:t xml:space="preserve">C4</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Santé Mentale &amp; Neurologique</w:t>
            </w:r>
          </w:p>
        </w:tc>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Stress, anxiété, insomnie, épilepsie, trauma (72 plantes)</w:t>
            </w:r>
          </w:p>
        </w:tc>
        <w:tc>
          <w:tcPr>
            <w:tcW w:type="dxa" w:w="36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2D7A4F"/>
                <w:sz w:val="19"/>
                <w:szCs w:val="19"/>
              </w:rPr>
              <w:t xml:space="preserve">Vétiver, Lavande, Citronnelle, Basilic tropical</w:t>
            </w:r>
          </w:p>
        </w:tc>
      </w:tr>
      <w:tr>
        <w:tc>
          <w:tcPr>
            <w:tcW w:type="dxa" w:w="5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b/>
                <w:bCs/>
                <w:color w:val="C0392B"/>
                <w:sz w:val="19"/>
                <w:szCs w:val="19"/>
              </w:rPr>
              <w:t xml:space="preserve">C5</w:t>
            </w:r>
          </w:p>
        </w:tc>
        <w:tc>
          <w:tcPr>
            <w:tcW w:type="dxa" w:w="28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Peau, Plaies &amp; Cicatrisation</w:t>
            </w:r>
          </w:p>
        </w:tc>
        <w:tc>
          <w:tcPr>
            <w:tcW w:type="dxa" w:w="24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Brûlures, infections cutanées, eczéma, champignons (115)</w:t>
            </w:r>
          </w:p>
        </w:tc>
        <w:tc>
          <w:tcPr>
            <w:tcW w:type="dxa" w:w="366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2D7A4F"/>
                <w:sz w:val="19"/>
                <w:szCs w:val="19"/>
              </w:rPr>
              <w:t xml:space="preserve">Aloe vera, Moringa, Cacao, Papayer, Ricin</w:t>
            </w:r>
          </w:p>
        </w:tc>
      </w:tr>
      <w:tr>
        <w:tc>
          <w:tcPr>
            <w:tcW w:type="dxa" w:w="5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C0392B"/>
                <w:sz w:val="19"/>
                <w:szCs w:val="19"/>
              </w:rPr>
              <w:t xml:space="preserve">C6</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Système Respiratoire</w:t>
            </w:r>
          </w:p>
        </w:tc>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Asthme, toux, bronchite, sinusite, rhume (83 plantes)</w:t>
            </w:r>
          </w:p>
        </w:tc>
        <w:tc>
          <w:tcPr>
            <w:tcW w:type="dxa" w:w="36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2D7A4F"/>
                <w:sz w:val="19"/>
                <w:szCs w:val="19"/>
              </w:rPr>
              <w:t xml:space="preserve">Eucalyptus, Menthe, Gingembre, Thym local</w:t>
            </w:r>
          </w:p>
        </w:tc>
      </w:tr>
      <w:tr>
        <w:tc>
          <w:tcPr>
            <w:tcW w:type="dxa" w:w="5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b/>
                <w:bCs/>
                <w:color w:val="C0392B"/>
                <w:sz w:val="19"/>
                <w:szCs w:val="19"/>
              </w:rPr>
              <w:t xml:space="preserve">C7</w:t>
            </w:r>
          </w:p>
        </w:tc>
        <w:tc>
          <w:tcPr>
            <w:tcW w:type="dxa" w:w="28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Santé Maternelle &amp; Infantile</w:t>
            </w:r>
          </w:p>
        </w:tc>
        <w:tc>
          <w:tcPr>
            <w:tcW w:type="dxa" w:w="240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Grossesse, allaitement, nutrition infantile, fièvres (61)</w:t>
            </w:r>
          </w:p>
        </w:tc>
        <w:tc>
          <w:tcPr>
            <w:tcW w:type="dxa" w:w="3660"/>
            <w:tcBorders>
              <w:top w:val="single" w:color="E0E0E0" w:sz="3"/>
              <w:left w:val="single" w:color="E0E0E0" w:sz="3"/>
              <w:bottom w:val="single" w:color="E0E0E0" w:sz="3"/>
              <w:right w:val="single" w:color="E0E0E0" w:sz="3"/>
            </w:tcBorders>
            <w:shd w:fill="FDE8E8" w:val="clear"/>
            <w:tcMar>
              <w:top w:type="dxa" w:w="100"/>
              <w:left w:type="dxa" w:w="150"/>
              <w:bottom w:type="dxa" w:w="100"/>
              <w:right w:type="dxa" w:w="150"/>
            </w:tcMar>
            <w:vAlign w:val="center"/>
          </w:tcPr>
          <w:p>
            <w:pPr>
              <w:spacing w:before="60" w:after="60"/>
              <w:jc w:val="left"/>
            </w:pPr>
            <w:r>
              <w:rPr>
                <w:rFonts w:ascii="Arial" w:cs="Arial" w:eastAsia="Arial" w:hAnsi="Arial"/>
                <w:color w:val="2D7A4F"/>
                <w:sz w:val="19"/>
                <w:szCs w:val="19"/>
              </w:rPr>
              <w:t xml:space="preserve">Moringa, Feuilles patate douce, Amarante</w:t>
            </w:r>
          </w:p>
        </w:tc>
      </w:tr>
      <w:tr>
        <w:tc>
          <w:tcPr>
            <w:tcW w:type="dxa" w:w="5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C0392B"/>
                <w:sz w:val="19"/>
                <w:szCs w:val="19"/>
              </w:rPr>
              <w:t xml:space="preserve">C8</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Immunité &amp; Protection Antioxydante</w:t>
            </w:r>
          </w:p>
        </w:tc>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Renforcement immun, anti-inflammatoires, post-Covid (142)</w:t>
            </w:r>
          </w:p>
        </w:tc>
        <w:tc>
          <w:tcPr>
            <w:tcW w:type="dxa" w:w="36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2D7A4F"/>
                <w:sz w:val="19"/>
                <w:szCs w:val="19"/>
              </w:rPr>
              <w:t xml:space="preserve">Moringa, Curcuma, Gingembre, Citrus haïtiens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6"/>
              <w:left w:val="single" w:color="2980B9" w:sz="6"/>
              <w:bottom w:val="single" w:color="2980B9" w:sz="6"/>
              <w:right w:val="single" w:color="2980B9" w:sz="6"/>
            </w:tcBorders>
            <w:shd w:fill="E8F0FB" w:val="clear"/>
            <w:tcMar>
              <w:top w:type="dxa" w:w="100"/>
              <w:left w:type="dxa" w:w="150"/>
              <w:bottom w:type="dxa" w:w="100"/>
              <w:right w:type="dxa" w:w="150"/>
            </w:tcMar>
            <w:vAlign w:val="center"/>
          </w:tcPr>
          <w:p>
            <w:pPr>
              <w:spacing w:before="80" w:after="60"/>
              <w:jc w:val="left"/>
            </w:pPr>
            <w:r>
              <w:rPr>
                <w:rFonts w:ascii="Arial" w:cs="Arial" w:eastAsia="Arial" w:hAnsi="Arial"/>
                <w:b/>
                <w:bCs/>
                <w:color w:val="1A3A5C"/>
                <w:sz w:val="22"/>
                <w:szCs w:val="22"/>
              </w:rPr>
              <w:t xml:space="preserve">Note médicale importante :</w:t>
            </w:r>
          </w:p>
          <w:p>
            <w:pPr>
              <w:spacing w:before="0" w:after="80"/>
              <w:jc w:val="left"/>
            </w:pPr>
            <w:r>
              <w:rPr>
                <w:rFonts w:ascii="Arial" w:cs="Arial" w:eastAsia="Arial" w:hAnsi="Arial"/>
                <w:color w:val="1A1A2E"/>
                <w:sz w:val="20"/>
                <w:szCs w:val="20"/>
              </w:rPr>
              <w:t xml:space="preserve">Toutes les associations plantes-maladies sont accompagnées d'un niveau de validation scientifique (Validé · Traditionnel · En cours d'étude), des contre-indications connues, et d'un avertissement systématique recommandant de consulter un professionnel de santé avant tout traitement. Les données toxicologiques sont clairement signalées pour protéger les utilisateurs vulnérables.</w:t>
            </w:r>
          </w:p>
        </w:tc>
      </w:tr>
    </w:tbl>
    <w:p>
      <w:r>
        <w:br w:type="page"/>
      </w:r>
    </w:p>
    <w:p>
      <w:pPr>
        <w:pStyle w:val="Heading1"/>
        <w:pBdr>
          <w:bottom w:val="single" w:color="1A4A2E" w:sz="8" w:space="4"/>
        </w:pBdr>
        <w:spacing w:before="360" w:after="160"/>
      </w:pPr>
      <w:r>
        <w:rPr>
          <w:rFonts w:ascii="Arial" w:cs="Arial" w:eastAsia="Arial" w:hAnsi="Arial"/>
          <w:b/>
          <w:bCs/>
          <w:color w:val="1A4A2E"/>
          <w:sz w:val="36"/>
          <w:szCs w:val="36"/>
        </w:rPr>
        <w:t xml:space="preserve">8. Architecture Technique du Système</w:t>
      </w:r>
    </w:p>
    <w:p>
      <w:pPr>
        <w:pStyle w:val="Heading2"/>
        <w:spacing w:before="280" w:after="120"/>
      </w:pPr>
      <w:r>
        <w:rPr>
          <w:rFonts w:ascii="Arial" w:cs="Arial" w:eastAsia="Arial" w:hAnsi="Arial"/>
          <w:b/>
          <w:bCs/>
          <w:color w:val="2D7A4F"/>
          <w:sz w:val="28"/>
          <w:szCs w:val="28"/>
        </w:rPr>
        <w:t xml:space="preserve">8.1 Stack Technologique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Couche</w:t>
            </w:r>
          </w:p>
        </w:tc>
        <w:tc>
          <w:tcPr>
            <w:tcW w:type="dxa" w:w="280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Technologie</w:t>
            </w:r>
          </w:p>
        </w:tc>
        <w:tc>
          <w:tcPr>
            <w:tcW w:type="dxa" w:w="416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Justification</w:t>
            </w:r>
          </w:p>
        </w:tc>
      </w:tr>
      <w:tr>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Frontend Web</w:t>
            </w:r>
          </w:p>
        </w:tc>
        <w:tc>
          <w:tcPr>
            <w:tcW w:type="dxa" w:w="28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2563A8"/>
                <w:sz w:val="19"/>
                <w:szCs w:val="19"/>
              </w:rPr>
              <w:t xml:space="preserve">Next.js 14 / React</w:t>
            </w:r>
          </w:p>
        </w:tc>
        <w:tc>
          <w:tcPr>
            <w:tcW w:type="dxa" w:w="41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SSR pour SEO multilingue, performance, composants réutilisables</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Internationalisation</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2563A8"/>
                <w:sz w:val="19"/>
                <w:szCs w:val="19"/>
              </w:rPr>
              <w:t xml:space="preserve">next-intl · Traduction native</w:t>
            </w:r>
          </w:p>
        </w:tc>
        <w:tc>
          <w:tcPr>
            <w:tcW w:type="dxa" w:w="41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3 langues (FR/EN/KR) natif — pas de traduction automatique; noms vernaculaires créoles inclus</w:t>
            </w:r>
          </w:p>
        </w:tc>
      </w:tr>
      <w:tr>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Base de données</w:t>
            </w:r>
          </w:p>
        </w:tc>
        <w:tc>
          <w:tcPr>
            <w:tcW w:type="dxa" w:w="28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2563A8"/>
                <w:sz w:val="19"/>
                <w:szCs w:val="19"/>
              </w:rPr>
              <w:t xml:space="preserve">PostgreSQL + PostGIS</w:t>
            </w:r>
          </w:p>
        </w:tc>
        <w:tc>
          <w:tcPr>
            <w:tcW w:type="dxa" w:w="41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Données relationnelles + géospatiales; idéal pour cartes SIG et distribution des plantes</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Cartographie</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2563A8"/>
                <w:sz w:val="19"/>
                <w:szCs w:val="19"/>
              </w:rPr>
              <w:t xml:space="preserve">Leaflet.js + OpenStreetMap</w:t>
            </w:r>
          </w:p>
        </w:tc>
        <w:tc>
          <w:tcPr>
            <w:tcW w:type="dxa" w:w="41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Open source, gratuit, performant; couches SIG multiples — carte botanique interactive</w:t>
            </w:r>
          </w:p>
        </w:tc>
      </w:tr>
      <w:tr>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Backend API</w:t>
            </w:r>
          </w:p>
        </w:tc>
        <w:tc>
          <w:tcPr>
            <w:tcW w:type="dxa" w:w="28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2563A8"/>
                <w:sz w:val="19"/>
                <w:szCs w:val="19"/>
              </w:rPr>
              <w:t xml:space="preserve">Node.js / Fastify</w:t>
            </w:r>
          </w:p>
        </w:tc>
        <w:tc>
          <w:tcPr>
            <w:tcW w:type="dxa" w:w="41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API REST ouverte pour chercheurs; webhooks pour mises à jour temps réel</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Hébergement</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2563A8"/>
                <w:sz w:val="19"/>
                <w:szCs w:val="19"/>
              </w:rPr>
              <w:t xml:space="preserve">AWS ou DigitalOcean (Miami)</w:t>
            </w:r>
          </w:p>
        </w:tc>
        <w:tc>
          <w:tcPr>
            <w:tcW w:type="dxa" w:w="41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Proximité Haïti; conformité internationale; CDN pour performance globale</w:t>
            </w:r>
          </w:p>
        </w:tc>
      </w:tr>
      <w:tr>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Application Mobile</w:t>
            </w:r>
          </w:p>
        </w:tc>
        <w:tc>
          <w:tcPr>
            <w:tcW w:type="dxa" w:w="28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2563A8"/>
                <w:sz w:val="19"/>
                <w:szCs w:val="19"/>
              </w:rPr>
              <w:t xml:space="preserve">React Native (iOS/Android)</w:t>
            </w:r>
          </w:p>
        </w:tc>
        <w:tc>
          <w:tcPr>
            <w:tcW w:type="dxa" w:w="41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Codebase unique FR/EN/KR; mode hors-ligne pour zones rurales; identification terrain</w:t>
            </w:r>
          </w:p>
        </w:tc>
      </w:tr>
      <w:tr>
        <w:tc>
          <w:tcPr>
            <w:tcW w:type="dxa" w:w="24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Authentification</w:t>
            </w:r>
          </w:p>
        </w:tc>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2563A8"/>
                <w:sz w:val="19"/>
                <w:szCs w:val="19"/>
              </w:rPr>
              <w:t xml:space="preserve">Auth0 ou NextAuth · RBAC</w:t>
            </w:r>
          </w:p>
        </w:tc>
        <w:tc>
          <w:tcPr>
            <w:tcW w:type="dxa" w:w="41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8 types d'utilisateurs; SSO pour les ministères; niveaux d'accès aux données sensibles</w:t>
            </w:r>
          </w:p>
        </w:tc>
      </w:tr>
      <w:tr>
        <w:tc>
          <w:tcPr>
            <w:tcW w:type="dxa" w:w="24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Recherche</w:t>
            </w:r>
          </w:p>
        </w:tc>
        <w:tc>
          <w:tcPr>
            <w:tcW w:type="dxa" w:w="28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2563A8"/>
                <w:sz w:val="19"/>
                <w:szCs w:val="19"/>
              </w:rPr>
              <w:t xml:space="preserve">Meilisearch</w:t>
            </w:r>
          </w:p>
        </w:tc>
        <w:tc>
          <w:tcPr>
            <w:tcW w:type="dxa" w:w="41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Recherche full-text multilingue ultra-rapide; support caractères créoles et noms botaniques</w:t>
            </w:r>
          </w:p>
        </w:tc>
      </w:tr>
    </w:tbl>
    <w:p>
      <w:pPr>
        <w:spacing w:before="0" w:after="120"/>
      </w:pPr>
    </w:p>
    <w:p>
      <w:pPr>
        <w:pStyle w:val="Heading2"/>
        <w:spacing w:before="280" w:after="120"/>
      </w:pPr>
      <w:r>
        <w:rPr>
          <w:rFonts w:ascii="Arial" w:cs="Arial" w:eastAsia="Arial" w:hAnsi="Arial"/>
          <w:b/>
          <w:bCs/>
          <w:color w:val="2D7A4F"/>
          <w:sz w:val="28"/>
          <w:szCs w:val="28"/>
        </w:rPr>
        <w:t xml:space="preserve">8.2 Fonctionnalités Clés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Fonctionnalité</w:t>
            </w:r>
          </w:p>
        </w:tc>
        <w:tc>
          <w:tcPr>
            <w:tcW w:type="dxa" w:w="636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Description</w:t>
            </w:r>
          </w:p>
        </w:tc>
      </w:tr>
      <w:tr>
        <w:tc>
          <w:tcPr>
            <w:tcW w:type="dxa" w:w="30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Moteur de Recherche Trilingue</w:t>
            </w:r>
          </w:p>
        </w:tc>
        <w:tc>
          <w:tcPr>
            <w:tcW w:type="dxa" w:w="63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Recherche simultanée FR/EN/KR. Reconnaissance des noms vernaculaires locaux (ex: "bèn" = Moringa, "vétivè" = Vetiveria). Corrections ortho, suggestions, filtres combinables.</w:t>
            </w:r>
          </w:p>
        </w:tc>
      </w:tr>
      <w:tr>
        <w:tc>
          <w:tcPr>
            <w:tcW w:type="dxa" w:w="3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Cartes SIG Interactives</w:t>
            </w:r>
          </w:p>
        </w:tc>
        <w:tc>
          <w:tcPr>
            <w:tcW w:type="dxa" w:w="63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Couches cartographiques: distribution des espèces, aires protégées (Parc Macaya), stations JBC, communes Grand Sud. Popups informatifs, export des données.</w:t>
            </w:r>
          </w:p>
        </w:tc>
      </w:tr>
      <w:tr>
        <w:tc>
          <w:tcPr>
            <w:tcW w:type="dxa" w:w="30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Contribution Communautaire</w:t>
            </w:r>
          </w:p>
        </w:tc>
        <w:tc>
          <w:tcPr>
            <w:tcW w:type="dxa" w:w="63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Les guérisseurs et chercheurs peuvent soumettre données, photos et préparations — modérées avant publication par l'équipe scientifique JBC.</w:t>
            </w:r>
          </w:p>
        </w:tc>
      </w:tr>
      <w:tr>
        <w:tc>
          <w:tcPr>
            <w:tcW w:type="dxa" w:w="3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API Ouverte pour Chercheurs</w:t>
            </w:r>
          </w:p>
        </w:tc>
        <w:tc>
          <w:tcPr>
            <w:tcW w:type="dxa" w:w="63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API REST documentée pour accès aux données botaniques par institutions académiques (TRAMIL, BGCI, universités haïtiennes et internationales).</w:t>
            </w:r>
          </w:p>
        </w:tc>
      </w:tr>
      <w:tr>
        <w:tc>
          <w:tcPr>
            <w:tcW w:type="dxa" w:w="30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Mode Hors-Ligne (App Mobile)</w:t>
            </w:r>
          </w:p>
        </w:tc>
        <w:tc>
          <w:tcPr>
            <w:tcW w:type="dxa" w:w="63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Cache local des fiches fréquemment consultées. Identification terrain sans connexion internet — crucial pour zones rurales du Grand Sud.</w:t>
            </w:r>
          </w:p>
        </w:tc>
      </w:tr>
      <w:tr>
        <w:tc>
          <w:tcPr>
            <w:tcW w:type="dxa" w:w="3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Tableaux de Bord Ministériels</w:t>
            </w:r>
          </w:p>
        </w:tc>
        <w:tc>
          <w:tcPr>
            <w:tcW w:type="dxa" w:w="63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Dashboards temps réel pour chaque ministère : indicateurs clés, graphiques de tendance, alertes automatiques, exports Excel/PDF pour rapports officiels.</w:t>
            </w:r>
          </w:p>
        </w:tc>
      </w:tr>
      <w:tr>
        <w:tc>
          <w:tcPr>
            <w:tcW w:type="dxa" w:w="30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Alerte Toxicologique</w:t>
            </w:r>
          </w:p>
        </w:tc>
        <w:tc>
          <w:tcPr>
            <w:tcW w:type="dxa" w:w="63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Signalement automatique des plantes présentant des contre-indications avec médicaments courants ou dangereuses pour certains groupes (femmes enceintes, enfants).</w:t>
            </w:r>
          </w:p>
        </w:tc>
      </w:tr>
    </w:tbl>
    <w:p>
      <w:r>
        <w:br w:type="page"/>
      </w:r>
    </w:p>
    <w:p>
      <w:pPr>
        <w:pStyle w:val="Heading1"/>
        <w:pBdr>
          <w:bottom w:val="single" w:color="1A4A2E" w:sz="8" w:space="4"/>
        </w:pBdr>
        <w:spacing w:before="360" w:after="160"/>
      </w:pPr>
      <w:r>
        <w:rPr>
          <w:rFonts w:ascii="Arial" w:cs="Arial" w:eastAsia="Arial" w:hAnsi="Arial"/>
          <w:b/>
          <w:bCs/>
          <w:color w:val="1A4A2E"/>
          <w:sz w:val="36"/>
          <w:szCs w:val="36"/>
        </w:rPr>
        <w:t xml:space="preserve">9. Plan de Mise en Oeuvre — 18 Mois</w:t>
      </w:r>
    </w:p>
    <w:p>
      <w:pPr>
        <w:pStyle w:val="Heading2"/>
        <w:spacing w:before="280" w:after="120"/>
      </w:pPr>
      <w:r>
        <w:rPr>
          <w:rFonts w:ascii="Arial" w:cs="Arial" w:eastAsia="Arial" w:hAnsi="Arial"/>
          <w:b/>
          <w:bCs/>
          <w:color w:val="2D7A4F"/>
          <w:sz w:val="28"/>
          <w:szCs w:val="28"/>
        </w:rPr>
        <w:t xml:space="preserve">9.1 Phasage en 4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Phase</w:t>
            </w:r>
          </w:p>
        </w:tc>
        <w:tc>
          <w:tcPr>
            <w:tcW w:type="dxa" w:w="180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Durée</w:t>
            </w:r>
          </w:p>
        </w:tc>
        <w:tc>
          <w:tcPr>
            <w:tcW w:type="dxa" w:w="6160"/>
            <w:tcBorders>
              <w:top w:val="single" w:color="1A4A2E" w:sz="5"/>
              <w:left w:val="single" w:color="1A4A2E" w:sz="5"/>
              <w:bottom w:val="single" w:color="1A4A2E" w:sz="5"/>
              <w:right w:val="single" w:color="1A4A2E" w:sz="5"/>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Livrables et activités</w:t>
            </w:r>
          </w:p>
        </w:tc>
      </w:tr>
      <w:tr>
        <w:tc>
          <w:tcPr>
            <w:tcW w:type="dxa" w:w="1400"/>
            <w:tcBorders>
              <w:top w:val="single" w:color="E0E0E0" w:sz="3"/>
              <w:left w:val="single" w:color="E0E0E0" w:sz="3"/>
              <w:bottom w:val="single" w:color="E0E0E0" w:sz="3"/>
              <w:right w:val="single" w:color="E0E0E0" w:sz="3"/>
            </w:tcBorders>
            <w:shd w:fill="1A4A2E"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19"/>
                <w:szCs w:val="19"/>
              </w:rPr>
              <w:t xml:space="preserve">Phase 1
Fondations</w:t>
            </w:r>
          </w:p>
        </w:tc>
        <w:tc>
          <w:tcPr>
            <w:tcW w:type="dxa" w:w="1800"/>
            <w:tcBorders>
              <w:top w:val="single" w:color="E0E0E0" w:sz="3"/>
              <w:left w:val="single" w:color="E0E0E0" w:sz="3"/>
              <w:bottom w:val="single" w:color="E0E0E0" w:sz="3"/>
              <w:right w:val="single" w:color="E0E0E0" w:sz="3"/>
            </w:tcBorders>
            <w:shd w:fill="F7F8FA"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Mois 1 – 3</w:t>
            </w:r>
          </w:p>
        </w:tc>
        <w:tc>
          <w:tcPr>
            <w:tcW w:type="dxa" w:w="6160"/>
            <w:tcBorders>
              <w:top w:val="single" w:color="E0E0E0" w:sz="3"/>
              <w:left w:val="single" w:color="E0E0E0" w:sz="3"/>
              <w:bottom w:val="single" w:color="E0E0E0" w:sz="3"/>
              <w:right w:val="single" w:color="E0E0E0" w:sz="3"/>
            </w:tcBorders>
            <w:shd w:fill="F7F8FA"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Architecture technique · Base PostgreSQL + PostGIS · 200 plantes prioritaires en ligne · Site FR/EN/KR · Portail Santé Publique (urgences)</w:t>
            </w:r>
          </w:p>
        </w:tc>
      </w:tr>
      <w:tr>
        <w:tc>
          <w:tcPr>
            <w:tcW w:type="dxa" w:w="1400"/>
            <w:tcBorders>
              <w:top w:val="single" w:color="E0E0E0" w:sz="3"/>
              <w:left w:val="single" w:color="E0E0E0" w:sz="3"/>
              <w:bottom w:val="single" w:color="E0E0E0" w:sz="3"/>
              <w:right w:val="single" w:color="E0E0E0" w:sz="3"/>
            </w:tcBorders>
            <w:shd w:fill="2D7A4F"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19"/>
                <w:szCs w:val="19"/>
              </w:rPr>
              <w:t xml:space="preserve">Phase 2
Expansion</w:t>
            </w:r>
          </w:p>
        </w:tc>
        <w:tc>
          <w:tcPr>
            <w:tcW w:type="dxa" w:w="1800"/>
            <w:tcBorders>
              <w:top w:val="single" w:color="E0E0E0" w:sz="3"/>
              <w:left w:val="single" w:color="E0E0E0" w:sz="3"/>
              <w:bottom w:val="single" w:color="E0E0E0" w:sz="3"/>
              <w:right w:val="single" w:color="E0E0E0" w:sz="3"/>
            </w:tcBorders>
            <w:shd w:fill="F7F8FA"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Mois 4 – 8</w:t>
            </w:r>
          </w:p>
        </w:tc>
        <w:tc>
          <w:tcPr>
            <w:tcW w:type="dxa" w:w="6160"/>
            <w:tcBorders>
              <w:top w:val="single" w:color="E0E0E0" w:sz="3"/>
              <w:left w:val="single" w:color="E0E0E0" w:sz="3"/>
              <w:bottom w:val="single" w:color="E0E0E0" w:sz="3"/>
              <w:right w:val="single" w:color="E0E0E0" w:sz="3"/>
            </w:tcBorders>
            <w:shd w:fill="F7F8FA"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Encyclopédie 847 plantes · Cartes SIG interactives · 4 portails ministériels · Moteur de recherche trilingue · Module Santé complet</w:t>
            </w:r>
          </w:p>
        </w:tc>
      </w:tr>
      <w:tr>
        <w:tc>
          <w:tcPr>
            <w:tcW w:type="dxa" w:w="1400"/>
            <w:tcBorders>
              <w:top w:val="single" w:color="E0E0E0" w:sz="3"/>
              <w:left w:val="single" w:color="E0E0E0" w:sz="3"/>
              <w:bottom w:val="single" w:color="E0E0E0" w:sz="3"/>
              <w:right w:val="single" w:color="E0E0E0" w:sz="3"/>
            </w:tcBorders>
            <w:shd w:fill="C8A84B"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Phase 3
Communauté</w:t>
            </w:r>
          </w:p>
        </w:tc>
        <w:tc>
          <w:tcPr>
            <w:tcW w:type="dxa" w:w="1800"/>
            <w:tcBorders>
              <w:top w:val="single" w:color="E0E0E0" w:sz="3"/>
              <w:left w:val="single" w:color="E0E0E0" w:sz="3"/>
              <w:bottom w:val="single" w:color="E0E0E0" w:sz="3"/>
              <w:right w:val="single" w:color="E0E0E0" w:sz="3"/>
            </w:tcBorders>
            <w:shd w:fill="F7F8FA"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Mois 9 – 12</w:t>
            </w:r>
          </w:p>
        </w:tc>
        <w:tc>
          <w:tcPr>
            <w:tcW w:type="dxa" w:w="6160"/>
            <w:tcBorders>
              <w:top w:val="single" w:color="E0E0E0" w:sz="3"/>
              <w:left w:val="single" w:color="E0E0E0" w:sz="3"/>
              <w:bottom w:val="single" w:color="E0E0E0" w:sz="3"/>
              <w:right w:val="single" w:color="E0E0E0" w:sz="3"/>
            </w:tcBorders>
            <w:shd w:fill="F7F8FA"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Module Savoir Traditionnel · Portail Doktè Fey · Contribution communautaire · Application mobile iOS/Android · Formation utilisateurs</w:t>
            </w:r>
          </w:p>
        </w:tc>
      </w:tr>
      <w:tr>
        <w:tc>
          <w:tcPr>
            <w:tcW w:type="dxa" w:w="1400"/>
            <w:tcBorders>
              <w:top w:val="single" w:color="E0E0E0" w:sz="3"/>
              <w:left w:val="single" w:color="E0E0E0" w:sz="3"/>
              <w:bottom w:val="single" w:color="E0E0E0" w:sz="3"/>
              <w:right w:val="single" w:color="E0E0E0" w:sz="3"/>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19"/>
                <w:szCs w:val="19"/>
              </w:rPr>
              <w:t xml:space="preserve">Phase 4
Rayonnement</w:t>
            </w:r>
          </w:p>
        </w:tc>
        <w:tc>
          <w:tcPr>
            <w:tcW w:type="dxa" w:w="1800"/>
            <w:tcBorders>
              <w:top w:val="single" w:color="E0E0E0" w:sz="3"/>
              <w:left w:val="single" w:color="E0E0E0" w:sz="3"/>
              <w:bottom w:val="single" w:color="E0E0E0" w:sz="3"/>
              <w:right w:val="single" w:color="E0E0E0" w:sz="3"/>
            </w:tcBorders>
            <w:shd w:fill="F7F8FA"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Mois 13 – 18</w:t>
            </w:r>
          </w:p>
        </w:tc>
        <w:tc>
          <w:tcPr>
            <w:tcW w:type="dxa" w:w="6160"/>
            <w:tcBorders>
              <w:top w:val="single" w:color="E0E0E0" w:sz="3"/>
              <w:left w:val="single" w:color="E0E0E0" w:sz="3"/>
              <w:bottom w:val="single" w:color="E0E0E0" w:sz="3"/>
              <w:right w:val="single" w:color="E0E0E0" w:sz="3"/>
            </w:tcBorders>
            <w:shd w:fill="F7F8FA"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API ouverte chercheurs · Intégration TRAMIL &amp; BGCI · Module Commerce &amp; Export · Marque "Plantes d'Haïti" · SEO international</w:t>
            </w:r>
          </w:p>
        </w:tc>
      </w:tr>
    </w:tbl>
    <w:p>
      <w:pPr>
        <w:spacing w:before="0" w:after="120"/>
      </w:pPr>
    </w:p>
    <w:p>
      <w:pPr>
        <w:pStyle w:val="Heading2"/>
        <w:spacing w:before="280" w:after="120"/>
      </w:pPr>
      <w:r>
        <w:rPr>
          <w:rFonts w:ascii="Arial" w:cs="Arial" w:eastAsia="Arial" w:hAnsi="Arial"/>
          <w:b/>
          <w:bCs/>
          <w:color w:val="2D7A4F"/>
          <w:sz w:val="28"/>
          <w:szCs w:val="28"/>
        </w:rPr>
        <w:t xml:space="preserve">9.2 Partenariats Stratégiques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Partenaire</w:t>
            </w:r>
          </w:p>
        </w:tc>
        <w:tc>
          <w:tcPr>
            <w:tcW w:type="dxa" w:w="656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Rôle dans l'écosystème</w:t>
            </w:r>
          </w:p>
        </w:tc>
      </w:tr>
      <w:tr>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Jardin Botanique des Cayes (JBC)</w:t>
            </w:r>
          </w:p>
        </w:tc>
        <w:tc>
          <w:tcPr>
            <w:tcW w:type="dxa" w:w="65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Institution porteuse · Fourniture et validation des données botaniques · Curation scientifique continue</w:t>
            </w:r>
          </w:p>
        </w:tc>
      </w:tr>
      <w:tr>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Banque de la République d'Haïti (BRH)</w:t>
            </w:r>
          </w:p>
        </w:tc>
        <w:tc>
          <w:tcPr>
            <w:tcW w:type="dxa" w:w="65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Partenaire financier · Potentiel de financement des filières économiques PMAA</w:t>
            </w:r>
          </w:p>
        </w:tc>
      </w:tr>
      <w:tr>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TRAMIL (Réseau Caraïbe)</w:t>
            </w:r>
          </w:p>
        </w:tc>
        <w:tc>
          <w:tcPr>
            <w:tcW w:type="dxa" w:w="65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Validation scientifique · Publications dans revues indexées · Données ethnobotaniques régionales</w:t>
            </w:r>
          </w:p>
        </w:tc>
      </w:tr>
      <w:tr>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BGCI (Botanic Gardens Conservation International)</w:t>
            </w:r>
          </w:p>
        </w:tc>
        <w:tc>
          <w:tcPr>
            <w:tcW w:type="dxa" w:w="65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Réseau international · Jardins botaniques mondiaux · Ressources de conservation espèces</w:t>
            </w:r>
          </w:p>
        </w:tc>
      </w:tr>
      <w:tr>
        <w:tc>
          <w:tcPr>
            <w:tcW w:type="dxa" w:w="280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Universités haïtiennes &amp; régionales</w:t>
            </w:r>
          </w:p>
        </w:tc>
        <w:tc>
          <w:tcPr>
            <w:tcW w:type="dxa" w:w="6560"/>
            <w:tcBorders>
              <w:top w:val="single" w:color="E0E0E0" w:sz="3"/>
              <w:left w:val="single" w:color="E0E0E0" w:sz="3"/>
              <w:bottom w:val="single" w:color="E0E0E0" w:sz="3"/>
              <w:right w:val="single" w:color="E0E0E0" w:sz="3"/>
            </w:tcBorders>
            <w:shd w:fill="E8F5E9"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Partenaires de recherche · Alimentation base de données · Formation des utilisateurs</w:t>
            </w:r>
          </w:p>
        </w:tc>
      </w:tr>
      <w:tr>
        <w:tc>
          <w:tcPr>
            <w:tcW w:type="dxa" w:w="28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4A2E"/>
                <w:sz w:val="19"/>
                <w:szCs w:val="19"/>
              </w:rPr>
              <w:t xml:space="preserve">Diaspora haïtienne (USA, Canada, France)</w:t>
            </w:r>
          </w:p>
        </w:tc>
        <w:tc>
          <w:tcPr>
            <w:tcW w:type="dxa" w:w="65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1A1A2E"/>
                <w:sz w:val="19"/>
                <w:szCs w:val="19"/>
              </w:rPr>
              <w:t xml:space="preserve">Ambassadeurs marché international · Testeurs beta · Potentiels financeurs diaspora</w:t>
            </w:r>
          </w:p>
        </w:tc>
      </w:tr>
    </w:tbl>
    <w:p>
      <w:pPr>
        <w:spacing w:before="0" w:after="120"/>
      </w:pPr>
    </w:p>
    <w:p>
      <w:pPr>
        <w:pStyle w:val="Heading2"/>
        <w:spacing w:before="280" w:after="120"/>
      </w:pPr>
      <w:r>
        <w:rPr>
          <w:rFonts w:ascii="Arial" w:cs="Arial" w:eastAsia="Arial" w:hAnsi="Arial"/>
          <w:b/>
          <w:bCs/>
          <w:color w:val="2D7A4F"/>
          <w:sz w:val="28"/>
          <w:szCs w:val="28"/>
        </w:rPr>
        <w:t xml:space="preserve">9.3 Budget Estimatif — Développement Complet 18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1760"/>
      </w:tblGrid>
      <w:tr>
        <w:tc>
          <w:tcPr>
            <w:tcW w:type="dxa" w:w="360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Poste budgétaire</w:t>
            </w:r>
          </w:p>
        </w:tc>
        <w:tc>
          <w:tcPr>
            <w:tcW w:type="dxa" w:w="400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left"/>
            </w:pPr>
            <w:r>
              <w:rPr>
                <w:rFonts w:ascii="Arial" w:cs="Arial" w:eastAsia="Arial" w:hAnsi="Arial"/>
                <w:b/>
                <w:bCs/>
                <w:color w:val="FFFFFF"/>
                <w:sz w:val="20"/>
                <w:szCs w:val="20"/>
              </w:rPr>
              <w:t xml:space="preserve">Description</w:t>
            </w:r>
          </w:p>
        </w:tc>
        <w:tc>
          <w:tcPr>
            <w:tcW w:type="dxa" w:w="1760"/>
            <w:tcBorders>
              <w:top w:val="single" w:color="1A3A5C" w:sz="5"/>
              <w:left w:val="single" w:color="1A3A5C" w:sz="5"/>
              <w:bottom w:val="single" w:color="1A3A5C" w:sz="5"/>
              <w:right w:val="single" w:color="1A3A5C" w:sz="5"/>
            </w:tcBorders>
            <w:shd w:fill="1A3A5C" w:val="clear"/>
            <w:tcMar>
              <w:top w:type="dxa" w:w="100"/>
              <w:left w:type="dxa" w:w="150"/>
              <w:bottom w:type="dxa" w:w="100"/>
              <w:right w:type="dxa" w:w="150"/>
            </w:tcMar>
            <w:vAlign w:val="center"/>
          </w:tcPr>
          <w:p>
            <w:pPr>
              <w:spacing w:before="60" w:after="60"/>
              <w:jc w:val="right"/>
            </w:pPr>
            <w:r>
              <w:rPr>
                <w:rFonts w:ascii="Arial" w:cs="Arial" w:eastAsia="Arial" w:hAnsi="Arial"/>
                <w:b/>
                <w:bCs/>
                <w:color w:val="FFFFFF"/>
                <w:sz w:val="20"/>
                <w:szCs w:val="20"/>
              </w:rPr>
              <w:t xml:space="preserve">Estimé (USD)</w:t>
            </w:r>
          </w:p>
        </w:tc>
      </w:tr>
      <w:tr>
        <w:tc>
          <w:tcPr>
            <w:tcW w:type="dxa" w:w="36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Design UX/UI Professionnel</w:t>
            </w:r>
          </w:p>
        </w:tc>
        <w:tc>
          <w:tcPr>
            <w:tcW w:type="dxa" w:w="40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8"/>
                <w:szCs w:val="18"/>
              </w:rPr>
              <w:t xml:space="preserve">Architecture info, wireframes, maquettes haute fidélité pour 8 portails</w:t>
            </w:r>
          </w:p>
        </w:tc>
        <w:tc>
          <w:tcPr>
            <w:tcW w:type="dxa" w:w="17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right"/>
            </w:pPr>
            <w:r>
              <w:rPr>
                <w:rFonts w:ascii="Arial" w:cs="Arial" w:eastAsia="Arial" w:hAnsi="Arial"/>
                <w:b/>
                <w:bCs/>
                <w:color w:val="1A1A2E"/>
                <w:sz w:val="19"/>
                <w:szCs w:val="19"/>
              </w:rPr>
              <w:t xml:space="preserve">15 000 – 25 000</w:t>
            </w:r>
          </w:p>
        </w:tc>
      </w:tr>
      <w:tr>
        <w:tc>
          <w:tcPr>
            <w:tcW w:type="dxa" w:w="3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Développement Frontend</w:t>
            </w:r>
          </w:p>
        </w:tc>
        <w:tc>
          <w:tcPr>
            <w:tcW w:type="dxa" w:w="4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8"/>
                <w:szCs w:val="18"/>
              </w:rPr>
              <w:t xml:space="preserve">Next.js, trilinguisme natif, 6 modules, 8 portails</w:t>
            </w:r>
          </w:p>
        </w:tc>
        <w:tc>
          <w:tcPr>
            <w:tcW w:type="dxa" w:w="17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right"/>
            </w:pPr>
            <w:r>
              <w:rPr>
                <w:rFonts w:ascii="Arial" w:cs="Arial" w:eastAsia="Arial" w:hAnsi="Arial"/>
                <w:b/>
                <w:bCs/>
                <w:color w:val="1A1A2E"/>
                <w:sz w:val="19"/>
                <w:szCs w:val="19"/>
              </w:rPr>
              <w:t xml:space="preserve">40 000 – 60 000</w:t>
            </w:r>
          </w:p>
        </w:tc>
      </w:tr>
      <w:tr>
        <w:tc>
          <w:tcPr>
            <w:tcW w:type="dxa" w:w="36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Base de données &amp; Backend</w:t>
            </w:r>
          </w:p>
        </w:tc>
        <w:tc>
          <w:tcPr>
            <w:tcW w:type="dxa" w:w="40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8"/>
                <w:szCs w:val="18"/>
              </w:rPr>
              <w:t xml:space="preserve">PostgreSQL/PostGIS, API REST, SIG, authentification RBAC</w:t>
            </w:r>
          </w:p>
        </w:tc>
        <w:tc>
          <w:tcPr>
            <w:tcW w:type="dxa" w:w="17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right"/>
            </w:pPr>
            <w:r>
              <w:rPr>
                <w:rFonts w:ascii="Arial" w:cs="Arial" w:eastAsia="Arial" w:hAnsi="Arial"/>
                <w:b/>
                <w:bCs/>
                <w:color w:val="1A1A2E"/>
                <w:sz w:val="19"/>
                <w:szCs w:val="19"/>
              </w:rPr>
              <w:t xml:space="preserve">20 000 – 35 000</w:t>
            </w:r>
          </w:p>
        </w:tc>
      </w:tr>
      <w:tr>
        <w:tc>
          <w:tcPr>
            <w:tcW w:type="dxa" w:w="3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Application Mobile</w:t>
            </w:r>
          </w:p>
        </w:tc>
        <w:tc>
          <w:tcPr>
            <w:tcW w:type="dxa" w:w="4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8"/>
                <w:szCs w:val="18"/>
              </w:rPr>
              <w:t xml:space="preserve">React Native iOS/Android, mode hors-ligne, identification terrain</w:t>
            </w:r>
          </w:p>
        </w:tc>
        <w:tc>
          <w:tcPr>
            <w:tcW w:type="dxa" w:w="17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right"/>
            </w:pPr>
            <w:r>
              <w:rPr>
                <w:rFonts w:ascii="Arial" w:cs="Arial" w:eastAsia="Arial" w:hAnsi="Arial"/>
                <w:b/>
                <w:bCs/>
                <w:color w:val="1A1A2E"/>
                <w:sz w:val="19"/>
                <w:szCs w:val="19"/>
              </w:rPr>
              <w:t xml:space="preserve">25 000 – 40 000</w:t>
            </w:r>
          </w:p>
        </w:tc>
      </w:tr>
      <w:tr>
        <w:tc>
          <w:tcPr>
            <w:tcW w:type="dxa" w:w="36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Saisie de données initiale</w:t>
            </w:r>
          </w:p>
        </w:tc>
        <w:tc>
          <w:tcPr>
            <w:tcW w:type="dxa" w:w="40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8"/>
                <w:szCs w:val="18"/>
              </w:rPr>
              <w:t xml:space="preserve">Encodage 847 fiches trilingues avec photos et validations scientifiques</w:t>
            </w:r>
          </w:p>
        </w:tc>
        <w:tc>
          <w:tcPr>
            <w:tcW w:type="dxa" w:w="17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right"/>
            </w:pPr>
            <w:r>
              <w:rPr>
                <w:rFonts w:ascii="Arial" w:cs="Arial" w:eastAsia="Arial" w:hAnsi="Arial"/>
                <w:b/>
                <w:bCs/>
                <w:color w:val="1A1A2E"/>
                <w:sz w:val="19"/>
                <w:szCs w:val="19"/>
              </w:rPr>
              <w:t xml:space="preserve">30 000 – 50 000</w:t>
            </w:r>
          </w:p>
        </w:tc>
      </w:tr>
      <w:tr>
        <w:tc>
          <w:tcPr>
            <w:tcW w:type="dxa" w:w="3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Cartographie SIG</w:t>
            </w:r>
          </w:p>
        </w:tc>
        <w:tc>
          <w:tcPr>
            <w:tcW w:type="dxa" w:w="4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8"/>
                <w:szCs w:val="18"/>
              </w:rPr>
              <w:t xml:space="preserve">Géoréférencement 847 stations, couches, intégration Leaflet.js</w:t>
            </w:r>
          </w:p>
        </w:tc>
        <w:tc>
          <w:tcPr>
            <w:tcW w:type="dxa" w:w="17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right"/>
            </w:pPr>
            <w:r>
              <w:rPr>
                <w:rFonts w:ascii="Arial" w:cs="Arial" w:eastAsia="Arial" w:hAnsi="Arial"/>
                <w:b/>
                <w:bCs/>
                <w:color w:val="1A1A2E"/>
                <w:sz w:val="19"/>
                <w:szCs w:val="19"/>
              </w:rPr>
              <w:t xml:space="preserve">10 000 – 18 000</w:t>
            </w:r>
          </w:p>
        </w:tc>
      </w:tr>
      <w:tr>
        <w:tc>
          <w:tcPr>
            <w:tcW w:type="dxa" w:w="36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Hébergement 3 ans</w:t>
            </w:r>
          </w:p>
        </w:tc>
        <w:tc>
          <w:tcPr>
            <w:tcW w:type="dxa" w:w="400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8"/>
                <w:szCs w:val="18"/>
              </w:rPr>
              <w:t xml:space="preserve">Serveur cloud, CDN, sauvegardes, sécurité, domaine</w:t>
            </w:r>
          </w:p>
        </w:tc>
        <w:tc>
          <w:tcPr>
            <w:tcW w:type="dxa" w:w="1760"/>
            <w:tcBorders>
              <w:top w:val="single" w:color="E0E0E0" w:sz="3"/>
              <w:left w:val="single" w:color="E0E0E0" w:sz="3"/>
              <w:bottom w:val="single" w:color="E0E0E0" w:sz="3"/>
              <w:right w:val="single" w:color="E0E0E0" w:sz="3"/>
            </w:tcBorders>
            <w:shd w:fill="E8F0FB" w:val="clear"/>
            <w:tcMar>
              <w:top w:type="dxa" w:w="100"/>
              <w:left w:type="dxa" w:w="150"/>
              <w:bottom w:type="dxa" w:w="100"/>
              <w:right w:type="dxa" w:w="150"/>
            </w:tcMar>
            <w:vAlign w:val="center"/>
          </w:tcPr>
          <w:p>
            <w:pPr>
              <w:spacing w:before="60" w:after="60"/>
              <w:jc w:val="right"/>
            </w:pPr>
            <w:r>
              <w:rPr>
                <w:rFonts w:ascii="Arial" w:cs="Arial" w:eastAsia="Arial" w:hAnsi="Arial"/>
                <w:b/>
                <w:bCs/>
                <w:color w:val="1A1A2E"/>
                <w:sz w:val="19"/>
                <w:szCs w:val="19"/>
              </w:rPr>
              <w:t xml:space="preserve">8 000 – 15 000</w:t>
            </w:r>
          </w:p>
        </w:tc>
      </w:tr>
      <w:tr>
        <w:tc>
          <w:tcPr>
            <w:tcW w:type="dxa" w:w="36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b/>
                <w:bCs/>
                <w:color w:val="1A1A2E"/>
                <w:sz w:val="19"/>
                <w:szCs w:val="19"/>
              </w:rPr>
              <w:t xml:space="preserve">Formation &amp; Accompagnement</w:t>
            </w:r>
          </w:p>
        </w:tc>
        <w:tc>
          <w:tcPr>
            <w:tcW w:type="dxa" w:w="400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left"/>
            </w:pPr>
            <w:r>
              <w:rPr>
                <w:rFonts w:ascii="Arial" w:cs="Arial" w:eastAsia="Arial" w:hAnsi="Arial"/>
                <w:color w:val="4A5568"/>
                <w:sz w:val="18"/>
                <w:szCs w:val="18"/>
              </w:rPr>
              <w:t xml:space="preserve">Formation équipes ministérielles, guides utilisateurs, webinaires</w:t>
            </w:r>
          </w:p>
        </w:tc>
        <w:tc>
          <w:tcPr>
            <w:tcW w:type="dxa" w:w="1760"/>
            <w:tcBorders>
              <w:top w:val="single" w:color="E0E0E0" w:sz="3"/>
              <w:left w:val="single" w:color="E0E0E0" w:sz="3"/>
              <w:bottom w:val="single" w:color="E0E0E0" w:sz="3"/>
              <w:right w:val="single" w:color="E0E0E0" w:sz="3"/>
            </w:tcBorders>
            <w:shd w:fill="FFFFFF" w:val="clear"/>
            <w:tcMar>
              <w:top w:type="dxa" w:w="100"/>
              <w:left w:type="dxa" w:w="150"/>
              <w:bottom w:type="dxa" w:w="100"/>
              <w:right w:type="dxa" w:w="150"/>
            </w:tcMar>
            <w:vAlign w:val="center"/>
          </w:tcPr>
          <w:p>
            <w:pPr>
              <w:spacing w:before="60" w:after="60"/>
              <w:jc w:val="right"/>
            </w:pPr>
            <w:r>
              <w:rPr>
                <w:rFonts w:ascii="Arial" w:cs="Arial" w:eastAsia="Arial" w:hAnsi="Arial"/>
                <w:b/>
                <w:bCs/>
                <w:color w:val="1A1A2E"/>
                <w:sz w:val="19"/>
                <w:szCs w:val="19"/>
              </w:rPr>
              <w:t xml:space="preserve">5 000 – 10 000</w:t>
            </w:r>
          </w:p>
        </w:tc>
      </w:tr>
      <w:tr>
        <w:tc>
          <w:tcPr>
            <w:tcW w:type="dxa" w:w="3600"/>
            <w:tcBorders>
              <w:top w:val="single" w:color="1A4A2E" w:sz="6"/>
              <w:left w:val="single" w:color="1A4A2E" w:sz="6"/>
              <w:bottom w:val="single" w:color="1A4A2E" w:sz="6"/>
              <w:right w:val="single" w:color="1A4A2E" w:sz="6"/>
            </w:tcBorders>
            <w:shd w:fill="1A4A2E" w:val="clear"/>
            <w:tcMar>
              <w:top w:type="dxa" w:w="100"/>
              <w:left w:type="dxa" w:w="150"/>
              <w:bottom w:type="dxa" w:w="100"/>
              <w:right w:type="dxa" w:w="150"/>
            </w:tcMar>
            <w:vAlign w:val="center"/>
          </w:tcPr>
          <w:p>
            <w:pPr>
              <w:spacing w:before="80" w:after="80"/>
              <w:jc w:val="left"/>
            </w:pPr>
            <w:r>
              <w:rPr>
                <w:rFonts w:ascii="Arial" w:cs="Arial" w:eastAsia="Arial" w:hAnsi="Arial"/>
                <w:b/>
                <w:bCs/>
                <w:color w:val="FFFFFF"/>
                <w:sz w:val="22"/>
                <w:szCs w:val="22"/>
              </w:rPr>
              <w:t xml:space="preserve">TOTAL ESTIMÉ</w:t>
            </w:r>
          </w:p>
        </w:tc>
        <w:tc>
          <w:tcPr>
            <w:tcW w:type="dxa" w:w="4000"/>
            <w:tcBorders>
              <w:top w:val="single" w:color="1A4A2E" w:sz="6"/>
              <w:left w:val="single" w:color="1A4A2E" w:sz="6"/>
              <w:bottom w:val="single" w:color="1A4A2E" w:sz="6"/>
              <w:right w:val="single" w:color="1A4A2E" w:sz="6"/>
            </w:tcBorders>
            <w:shd w:fill="1A4A2E" w:val="clear"/>
            <w:tcMar>
              <w:top w:type="dxa" w:w="100"/>
              <w:left w:type="dxa" w:w="150"/>
              <w:bottom w:type="dxa" w:w="100"/>
              <w:right w:type="dxa" w:w="150"/>
            </w:tcMar>
            <w:vAlign w:val="center"/>
          </w:tcPr>
          <w:p>
            <w:pPr>
              <w:spacing w:before="80" w:after="80"/>
              <w:jc w:val="left"/>
            </w:pPr>
            <w:r>
              <w:rPr>
                <w:rFonts w:ascii="Arial" w:cs="Arial" w:eastAsia="Arial" w:hAnsi="Arial"/>
                <w:b/>
                <w:bCs/>
                <w:color w:val="FFFFFF"/>
                <w:sz w:val="20"/>
                <w:szCs w:val="20"/>
              </w:rPr>
              <w:t xml:space="preserve">Budget total — Phases 1 à 4 · 18 mois de développement</w:t>
            </w:r>
          </w:p>
        </w:tc>
        <w:tc>
          <w:tcPr>
            <w:tcW w:type="dxa" w:w="1760"/>
            <w:tcBorders>
              <w:top w:val="single" w:color="1A4A2E" w:sz="6"/>
              <w:left w:val="single" w:color="1A4A2E" w:sz="6"/>
              <w:bottom w:val="single" w:color="1A4A2E" w:sz="6"/>
              <w:right w:val="single" w:color="1A4A2E" w:sz="6"/>
            </w:tcBorders>
            <w:shd w:fill="1A4A2E" w:val="clear"/>
            <w:tcMar>
              <w:top w:type="dxa" w:w="100"/>
              <w:left w:type="dxa" w:w="150"/>
              <w:bottom w:type="dxa" w:w="100"/>
              <w:right w:type="dxa" w:w="150"/>
            </w:tcMar>
            <w:vAlign w:val="center"/>
          </w:tcPr>
          <w:p>
            <w:pPr>
              <w:spacing w:before="80" w:after="80"/>
              <w:jc w:val="right"/>
            </w:pPr>
            <w:r>
              <w:rPr>
                <w:rFonts w:ascii="Arial" w:cs="Arial" w:eastAsia="Arial" w:hAnsi="Arial"/>
                <w:b/>
                <w:bCs/>
                <w:color w:val="C8A84B"/>
                <w:sz w:val="22"/>
                <w:szCs w:val="22"/>
              </w:rPr>
              <w:t xml:space="preserve">153 000 – 253 000 USD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6"/>
              <w:bottom w:val="single" w:color="C8A84B" w:sz="6"/>
              <w:right w:val="single" w:color="C8A84B" w:sz="6"/>
            </w:tcBorders>
            <w:shd w:fill="F5E8C0" w:val="clear"/>
            <w:tcMar>
              <w:top w:type="dxa" w:w="100"/>
              <w:left w:type="dxa" w:w="150"/>
              <w:bottom w:type="dxa" w:w="100"/>
              <w:right w:type="dxa" w:w="150"/>
            </w:tcMar>
            <w:vAlign w:val="center"/>
          </w:tcPr>
          <w:p>
            <w:pPr>
              <w:spacing w:before="80" w:after="60"/>
              <w:jc w:val="left"/>
            </w:pPr>
            <w:r>
              <w:rPr>
                <w:rFonts w:ascii="Arial" w:cs="Arial" w:eastAsia="Arial" w:hAnsi="Arial"/>
                <w:b/>
                <w:bCs/>
                <w:color w:val="1A4A2E"/>
                <w:sz w:val="22"/>
                <w:szCs w:val="22"/>
              </w:rPr>
              <w:t xml:space="preserve">Recommandation finale :</w:t>
            </w:r>
          </w:p>
          <w:p>
            <w:pPr>
              <w:spacing w:before="0" w:after="80"/>
              <w:jc w:val="left"/>
            </w:pPr>
            <w:r>
              <w:rPr>
                <w:rFonts w:ascii="Arial" w:cs="Arial" w:eastAsia="Arial" w:hAnsi="Arial"/>
                <w:color w:val="1A1A2E"/>
                <w:sz w:val="20"/>
                <w:szCs w:val="20"/>
              </w:rPr>
              <w:t xml:space="preserve">La plateforme PMAA Haïti représente un investissement stratégique à fort retour. En positionnant Haïti comme le Maroc des Caraïbes pour les plantes médicinales, un marché de 61,5 milliards USD d'ici 2027 s'ouvre pour les producteurs et entrepreneurs haïtiens. Le site web est la vitrine internationale indispensable à cette ambition — une infrastructure numérique au service du patrimoine vivant d'Haïti.</w:t>
            </w:r>
          </w:p>
        </w:tc>
      </w:tr>
    </w:tbl>
    <w:p>
      <w:pPr>
        <w:spacing w:before="0" w:after="120"/>
      </w:pPr>
    </w:p>
    <w:p>
      <w:pPr>
        <w:pBdr>
          <w:top w:val="single" w:color="E0E0E0" w:sz="4" w:space="4"/>
        </w:pBdr>
        <w:spacing w:before="120" w:after="60"/>
        <w:jc w:val="center"/>
      </w:pPr>
      <w:r>
        <w:rPr>
          <w:rFonts w:ascii="Arial" w:cs="Arial" w:eastAsia="Arial" w:hAnsi="Arial"/>
          <w:b/>
          <w:bCs/>
          <w:color w:val="1A4A2E"/>
          <w:sz w:val="20"/>
          <w:szCs w:val="20"/>
        </w:rPr>
        <w:t xml:space="preserve">Jardin Botanique des Cayes (JBC) · Département du Sud, Haïti · 2025</w:t>
      </w:r>
    </w:p>
    <w:p>
      <w:pPr>
        <w:spacing w:before="0" w:after="60"/>
        <w:jc w:val="center"/>
      </w:pPr>
      <w:r>
        <w:rPr>
          <w:rFonts w:ascii="Arial" w:cs="Arial" w:eastAsia="Arial" w:hAnsi="Arial"/>
          <w:color w:val="4A5568"/>
          <w:sz w:val="18"/>
          <w:szCs w:val="18"/>
        </w:rPr>
        <w:t xml:space="preserve">Partenaires : BRH · BGCI · TRAMIL · Ministères de la République d'Haïti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before="80" w:after="0"/>
    </w:pPr>
    <w:r>
      <w:rPr>
        <w:rFonts w:ascii="Arial" w:cs="Arial" w:eastAsia="Arial" w:hAnsi="Arial"/>
        <w:color w:val="4A5568"/>
        <w:sz w:val="16"/>
        <w:szCs w:val="16"/>
      </w:rPr>
      <w:t xml:space="preserve">Grand Sud &amp; Grand'Anse d'Haïti · Plantes Médicinales, Aromatiques et Alimentaires</w:t>
    </w:r>
    <w:r>
      <w:rPr>
        <w:rFonts w:ascii="Arial" w:cs="Arial" w:eastAsia="Arial" w:hAnsi="Arial"/>
        <w:color w:val="000000"/>
        <w:sz w:val="16"/>
        <w:szCs w:val="16"/>
      </w:rPr>
      <w:t xml:space="preserve">	</w:t>
    </w:r>
    <w:r>
      <w:rPr>
        <w:rFonts w:ascii="Arial" w:cs="Arial" w:eastAsia="Arial" w:hAnsi="Arial"/>
        <w:color w:val="4A5568"/>
        <w:sz w:val="16"/>
        <w:szCs w:val="16"/>
      </w:rPr>
      <w:t xml:space="preserve">Page </w:t>
    </w:r>
    <w:r>
      <w:rPr>
        <w:rFonts w:ascii="Arial" w:cs="Arial" w:eastAsia="Arial" w:hAnsi="Arial"/>
        <w:color w:val="2D7A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4F" w:sz="6" w:space="4"/>
      </w:pBdr>
      <w:spacing w:before="0" w:after="100"/>
    </w:pPr>
    <w:r>
      <w:rPr>
        <w:rFonts w:ascii="Arial" w:cs="Arial" w:eastAsia="Arial" w:hAnsi="Arial"/>
        <w:b/>
        <w:bCs/>
        <w:color w:val="1A4A2E"/>
        <w:sz w:val="18"/>
        <w:szCs w:val="18"/>
      </w:rPr>
      <w:t xml:space="preserve">PMAA Haïti · Plateforme Numérique Nationale</w:t>
    </w:r>
    <w:r>
      <w:rPr>
        <w:rFonts w:ascii="Arial" w:cs="Arial" w:eastAsia="Arial" w:hAnsi="Arial"/>
        <w:color w:val="000000"/>
        <w:sz w:val="18"/>
        <w:szCs w:val="18"/>
      </w:rPr>
      <w:t xml:space="preserve">	</w:t>
    </w:r>
    <w:r>
      <w:rPr>
        <w:rFonts w:ascii="Arial" w:cs="Arial" w:eastAsia="Arial" w:hAnsi="Arial"/>
        <w:color w:val="4A5568"/>
        <w:sz w:val="18"/>
        <w:szCs w:val="18"/>
      </w:rPr>
      <w:t xml:space="preserve">Jardin Botanique des Cayes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4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D7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2026-03-30T18:41:50.675Z</dcterms:created>
  <dcterms:modified xsi:type="dcterms:W3CDTF">2026-03-30T18:41:50.675Z</dcterms:modified>
</cp:coreProperties>
</file>

<file path=docProps/custom.xml><?xml version="1.0" encoding="utf-8"?>
<Properties xmlns="http://schemas.openxmlformats.org/officeDocument/2006/custom-properties" xmlns:vt="http://schemas.openxmlformats.org/officeDocument/2006/docPropsVTypes"/>
</file>