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Quarterly Progress Report</w:t>
      </w:r>
    </w:p>
    <w:p>
      <w:pPr>
        <w:jc w:val="center"/>
      </w:pPr>
      <w:r>
        <w:t>Digital Inclusion &amp; Rights Advocacy Programme</w:t>
        <w:br/>
      </w:r>
      <w:r>
        <w:t>Q3 2024 | July – September 2024</w:t>
        <w:br/>
      </w:r>
      <w:r>
        <w:t>Community Digital Rights Initiative (CDRI)</w:t>
      </w:r>
    </w:p>
    <w:p/>
    <w:p>
      <w:r>
        <w:t>──────────────────────────────────────────</w:t>
      </w:r>
    </w:p>
    <w:p/>
    <w:p>
      <w:pPr>
        <w:pStyle w:val="Heading1"/>
      </w:pPr>
      <w:r>
        <w:t>1. Background and Context</w:t>
      </w:r>
    </w:p>
    <w:p>
      <w:r>
        <w:rPr>
          <w:b w:val="0"/>
        </w:rPr>
        <w:t>The third quarter of 2024 unfolded against a rapidly shifting digital governance landscape across the region. In July 2024, the national government enacted the Personal Data Protection Act, establishing for the first time a statutory right to data privacy and a dedicated enforcement authority. This development significantly elevated the policy environment in which CDRI operates and created new entry points for civil society engagement.</w:t>
      </w:r>
    </w:p>
    <w:p>
      <w:r>
        <w:rPr>
          <w:b w:val="0"/>
        </w:rPr>
        <w:t>At the regional level, the Southeast Asia Internet Governance Forum adopted a non-binding resolution recognising internet access as a foundational enabler of human rights. Although non-binding, the resolution was endorsed by eleven member governments and signals a normative shift that advocacy organisations can leverage in national dialogues.</w:t>
      </w:r>
    </w:p>
    <w:p>
      <w:r>
        <w:rPr>
          <w:b w:val="0"/>
        </w:rPr>
        <w:t>In parallel, the regional telecommunications standards body initiated a public consultation on minimum service obligations for rural broadband, reflecting growing political pressure to address the urban-rural digital divide. CDRI submitted a formal response to this consultation in August.</w:t>
      </w:r>
    </w:p>
    <w:p/>
    <w:p>
      <w:pPr>
        <w:pStyle w:val="Heading1"/>
      </w:pPr>
      <w:r>
        <w:t>2. Programme Objectives</w:t>
      </w:r>
    </w:p>
    <w:p>
      <w:r>
        <w:rPr>
          <w:b w:val="0"/>
        </w:rPr>
        <w:t>This programme operates under three strategic objectives:</w:t>
      </w:r>
    </w:p>
    <w:p>
      <w:pPr>
        <w:pStyle w:val="ListNumber"/>
      </w:pPr>
      <w:r>
        <w:t>Objective 1 — Policy Influence: Embed digital rights principles into national and regional governance frameworks.</w:t>
      </w:r>
    </w:p>
    <w:p>
      <w:pPr>
        <w:pStyle w:val="ListNumber"/>
      </w:pPr>
      <w:r>
        <w:t>Objective 2 — Institutional Capacity: Strengthen civil society's ability to monitor, document, and respond to digital rights developments.</w:t>
      </w:r>
    </w:p>
    <w:p>
      <w:pPr>
        <w:pStyle w:val="ListNumber"/>
      </w:pPr>
      <w:r>
        <w:t>Objective 3 — Community Awareness: Build understanding of digital rights among marginalised communities, with a focus on women and youth.</w:t>
      </w:r>
    </w:p>
    <w:p/>
    <w:p>
      <w:pPr>
        <w:pStyle w:val="Heading1"/>
      </w:pPr>
      <w:r>
        <w:t>3. Key Achievements and Outcomes</w:t>
      </w:r>
    </w:p>
    <w:p>
      <w:pPr>
        <w:pStyle w:val="Heading2"/>
      </w:pPr>
      <w:r>
        <w:t>3.1 Policy and Institutional Change</w:t>
      </w:r>
    </w:p>
    <w:p>
      <w:r>
        <w:rPr>
          <w:b w:val="0"/>
        </w:rPr>
        <w:t>The quarter produced significant progress on Objective 1. Following eighteen months of sustained advocacy, the Ministry of Communications formally incorporated digital rights language — including explicit references to freedom of expression, privacy, and non-discrimination online — into the National Digital Strategy 2024–2030, which was officially gazetted in September 2024. This marks the first time rights-based framing has been institutionalised in a national digital policy instrument.</w:t>
      </w:r>
    </w:p>
    <w:p>
      <w:r>
        <w:rPr>
          <w:b w:val="0"/>
        </w:rPr>
        <w:t>At the sub-national level, four provincial governments signed a memorandum of understanding with CDRI to co-develop a Digital Rights Municipal Charter. The charter commits signatory municipalities to conduct annual digital rights impact assessments of proposed local ordinances and to establish a standing civil society advisory panel on digital governance.</w:t>
      </w:r>
    </w:p>
    <w:p>
      <w:r>
        <w:rPr>
          <w:b w:val="0"/>
        </w:rPr>
        <w:t>The national telecommunications regulator agreed to establish a permanent Civil Society Liaison Desk within its policy division, following CDRI's submission to the broadband consultation and a series of bilateral meetings held in August and September. The Liaison Desk is expected to be operational by December 2024.</w:t>
      </w:r>
    </w:p>
    <w:p>
      <w:pPr>
        <w:pStyle w:val="Heading2"/>
      </w:pPr>
      <w:r>
        <w:t>3.2 Capacity and Coalition Building</w:t>
      </w:r>
    </w:p>
    <w:p>
      <w:r>
        <w:rPr>
          <w:b w:val="0"/>
        </w:rPr>
        <w:t>Under Objective 2, CDRI convened the first formal meeting of the Digital Rights Monitoring Network (DRMN) in August 2024, bringing together fourteen civil society organisations from eight provinces. The network adopted a shared monitoring methodology and agreed to produce a joint quarterly shadow report beginning in Q4 2024.</w:t>
      </w:r>
    </w:p>
    <w:p>
      <w:r>
        <w:rPr>
          <w:b w:val="0"/>
        </w:rPr>
        <w:t>The Ministry of Education expressed strong interest in integrating CDRI's Digital Citizenship curriculum into the secondary school syllabus review scheduled for early 2025. Preliminary discussions have been held with the Curriculum Development Bureau, and a formal proposal is under preparation.</w:t>
      </w:r>
    </w:p>
    <w:p>
      <w:r>
        <w:rPr>
          <w:b w:val="0"/>
        </w:rPr>
        <w:t>Three partner organisations that participated in CDRI's capacity-building programme have independently begun using structured evidence documentation in their own M&amp;E reporting, indicating early uptake of practices introduced through the programme.</w:t>
      </w:r>
    </w:p>
    <w:p>
      <w:pPr>
        <w:pStyle w:val="Heading2"/>
      </w:pPr>
      <w:r>
        <w:t>3.3 Community Awareness</w:t>
      </w:r>
    </w:p>
    <w:p>
      <w:r>
        <w:rPr>
          <w:b w:val="0"/>
        </w:rPr>
        <w:t>Under Objective 3, community awareness sessions reached 1,840 participants across six provinces, exceeding the Q3 target of 1,500. Post-session surveys indicate that 78% of participants reported increased confidence in identifying online rights violations, compared to 41% in the baseline.</w:t>
      </w:r>
    </w:p>
    <w:p>
      <w:r>
        <w:rPr>
          <w:b w:val="0"/>
        </w:rPr>
        <w:t>A community paralegal network in the Northern Region, trained under a previous CDRI cohort, successfully handled its first digital rights complaint — a case of non-consensual image sharing — through the formal legal aid system, resulting in a mediated resolution and a written undertaking from the respondent.</w:t>
      </w:r>
    </w:p>
    <w:p>
      <w:r>
        <w:rPr>
          <w:b w:val="0"/>
        </w:rPr>
        <w:t>Local women's groups in two districts have begun independently facilitating peer digital safety sessions, using materials adapted from CDRI's training kit. This peer-led model was not part of the original programme design but emerged organically from participant initiative.</w:t>
      </w:r>
    </w:p>
    <w:p/>
    <w:p>
      <w:pPr>
        <w:pStyle w:val="Heading1"/>
      </w:pPr>
      <w:r>
        <w:t>4. Activities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Target</w:t>
            </w:r>
          </w:p>
        </w:tc>
        <w:tc>
          <w:tcPr>
            <w:tcW w:type="dxa" w:w="2160"/>
          </w:tcPr>
          <w:p>
            <w:r>
              <w:t>Achieved</w:t>
            </w:r>
          </w:p>
        </w:tc>
        <w:tc>
          <w:tcPr>
            <w:tcW w:type="dxa" w:w="2160"/>
          </w:tcPr>
          <w:p>
            <w:r>
              <w:t>Notes</w:t>
            </w:r>
          </w:p>
        </w:tc>
      </w:tr>
      <w:tr>
        <w:tc>
          <w:tcPr>
            <w:tcW w:type="dxa" w:w="2160"/>
          </w:tcPr>
          <w:p>
            <w:r>
              <w:t>Policy advocacy meetings</w:t>
            </w:r>
          </w:p>
        </w:tc>
        <w:tc>
          <w:tcPr>
            <w:tcW w:type="dxa" w:w="2160"/>
          </w:tcPr>
          <w:p>
            <w:r>
              <w:t>12</w:t>
            </w:r>
          </w:p>
        </w:tc>
        <w:tc>
          <w:tcPr>
            <w:tcW w:type="dxa" w:w="2160"/>
          </w:tcPr>
          <w:p>
            <w:r>
              <w:t>15</w:t>
            </w:r>
          </w:p>
        </w:tc>
        <w:tc>
          <w:tcPr>
            <w:tcW w:type="dxa" w:w="2160"/>
          </w:tcPr>
          <w:p>
            <w:r>
              <w:t>Includes 3 unplanned bilateral meetings with regulator</w:t>
            </w:r>
          </w:p>
        </w:tc>
      </w:tr>
      <w:tr>
        <w:tc>
          <w:tcPr>
            <w:tcW w:type="dxa" w:w="2160"/>
          </w:tcPr>
          <w:p>
            <w:r>
              <w:t>Community awareness sessions</w:t>
            </w:r>
          </w:p>
        </w:tc>
        <w:tc>
          <w:tcPr>
            <w:tcW w:type="dxa" w:w="2160"/>
          </w:tcPr>
          <w:p>
            <w:r>
              <w:t>20</w:t>
            </w:r>
          </w:p>
        </w:tc>
        <w:tc>
          <w:tcPr>
            <w:tcW w:type="dxa" w:w="2160"/>
          </w:tcPr>
          <w:p>
            <w:r>
              <w:t>23</w:t>
            </w:r>
          </w:p>
        </w:tc>
        <w:tc>
          <w:tcPr>
            <w:tcW w:type="dxa" w:w="2160"/>
          </w:tcPr>
          <w:p>
            <w:r>
              <w:t>Exceeded due to partner co-facilitation</w:t>
            </w:r>
          </w:p>
        </w:tc>
      </w:tr>
      <w:tr>
        <w:tc>
          <w:tcPr>
            <w:tcW w:type="dxa" w:w="2160"/>
          </w:tcPr>
          <w:p>
            <w:r>
              <w:t>Civil society capacity workshops</w:t>
            </w:r>
          </w:p>
        </w:tc>
        <w:tc>
          <w:tcPr>
            <w:tcW w:type="dxa" w:w="2160"/>
          </w:tcPr>
          <w:p>
            <w:r>
              <w:t>4</w:t>
            </w:r>
          </w:p>
        </w:tc>
        <w:tc>
          <w:tcPr>
            <w:tcW w:type="dxa" w:w="2160"/>
          </w:tcPr>
          <w:p>
            <w:r>
              <w:t>4</w:t>
            </w:r>
          </w:p>
        </w:tc>
        <w:tc>
          <w:tcPr>
            <w:tcW w:type="dxa" w:w="2160"/>
          </w:tcPr>
          <w:p>
            <w:r>
              <w:t>On track</w:t>
            </w:r>
          </w:p>
        </w:tc>
      </w:tr>
      <w:tr>
        <w:tc>
          <w:tcPr>
            <w:tcW w:type="dxa" w:w="2160"/>
          </w:tcPr>
          <w:p>
            <w:r>
              <w:t>Research and publications</w:t>
            </w:r>
          </w:p>
        </w:tc>
        <w:tc>
          <w:tcPr>
            <w:tcW w:type="dxa" w:w="2160"/>
          </w:tcPr>
          <w:p>
            <w:r>
              <w:t>2</w:t>
            </w:r>
          </w:p>
        </w:tc>
        <w:tc>
          <w:tcPr>
            <w:tcW w:type="dxa" w:w="2160"/>
          </w:tcPr>
          <w:p>
            <w:r>
              <w:t>2</w:t>
            </w:r>
          </w:p>
        </w:tc>
        <w:tc>
          <w:tcPr>
            <w:tcW w:type="dxa" w:w="2160"/>
          </w:tcPr>
          <w:p>
            <w:r>
              <w:t>Joint shadow report methodology paper; broadband consultation submission</w:t>
            </w:r>
          </w:p>
        </w:tc>
      </w:tr>
      <w:tr>
        <w:tc>
          <w:tcPr>
            <w:tcW w:type="dxa" w:w="2160"/>
          </w:tcPr>
          <w:p>
            <w:r>
              <w:t>Coalition coordination meetings</w:t>
            </w:r>
          </w:p>
        </w:tc>
        <w:tc>
          <w:tcPr>
            <w:tcW w:type="dxa" w:w="2160"/>
          </w:tcPr>
          <w:p>
            <w:r>
              <w:t>3</w:t>
            </w:r>
          </w:p>
        </w:tc>
        <w:tc>
          <w:tcPr>
            <w:tcW w:type="dxa" w:w="2160"/>
          </w:tcPr>
          <w:p>
            <w:r>
              <w:t>4</w:t>
            </w:r>
          </w:p>
        </w:tc>
        <w:tc>
          <w:tcPr>
            <w:tcW w:type="dxa" w:w="2160"/>
          </w:tcPr>
          <w:p>
            <w:r>
              <w:t>Additional session due to DRMN launch</w:t>
            </w:r>
          </w:p>
        </w:tc>
      </w:tr>
    </w:tbl>
    <w:p/>
    <w:p>
      <w:pPr>
        <w:pStyle w:val="Heading1"/>
      </w:pPr>
      <w:r>
        <w:t>5. Challenges and Lessons Learned</w:t>
      </w:r>
    </w:p>
    <w:p>
      <w:r>
        <w:rPr>
          <w:b w:val="0"/>
        </w:rPr>
        <w:t>Staff turnover in two partner organisations affected the pace of coalition coordination during July and August. CDRI responded by increasing direct technical support to affected partners, which partially offset the disruption but added unplanned workload to programme staff.</w:t>
      </w:r>
    </w:p>
    <w:p>
      <w:r>
        <w:rPr>
          <w:b w:val="0"/>
        </w:rPr>
        <w:t>Community sessions in rural areas continue to face logistical barriers, including unreliable transport and limited availability of suitable venues. Co-facilitation with local women's groups has proven an effective mitigation strategy and will be formalised in the Q4 workplan.</w:t>
      </w:r>
    </w:p>
    <w:p>
      <w:r>
        <w:rPr>
          <w:b w:val="0"/>
        </w:rPr>
        <w:t>The pace of policy engagement was faster than anticipated following the enactment of the Data Protection Act, requiring the team to respond to multiple simultaneous consultation processes. This has surfaced a need for clearer internal prioritisation criteria for advocacy opportunities.</w:t>
      </w:r>
    </w:p>
    <w:p/>
    <w:p>
      <w:pPr>
        <w:pStyle w:val="Heading1"/>
      </w:pPr>
      <w:r>
        <w:t>6. Next Steps (Q4 2024)</w:t>
      </w:r>
    </w:p>
    <w:p>
      <w:pPr>
        <w:pStyle w:val="ListBullet"/>
      </w:pPr>
      <w:r>
        <w:t>Finalise and submit the Digital Rights Municipal Charter to the four signatory municipalities.</w:t>
      </w:r>
    </w:p>
    <w:p>
      <w:pPr>
        <w:pStyle w:val="ListBullet"/>
      </w:pPr>
      <w:r>
        <w:t>Support the telecommunications regulator in establishing the Civil Society Liaison Desk.</w:t>
      </w:r>
    </w:p>
    <w:p>
      <w:pPr>
        <w:pStyle w:val="ListBullet"/>
      </w:pPr>
      <w:r>
        <w:t>Produce the first joint DRMN quarterly shadow report.</w:t>
      </w:r>
    </w:p>
    <w:p>
      <w:pPr>
        <w:pStyle w:val="ListBullet"/>
      </w:pPr>
      <w:r>
        <w:t>Submit formal curriculum integration proposal to the Ministry of Education.</w:t>
      </w:r>
    </w:p>
    <w:p>
      <w:pPr>
        <w:pStyle w:val="ListBullet"/>
      </w:pPr>
      <w:r>
        <w:t>Conduct end-of-year evaluation of community awareness sessions.</w:t>
      </w:r>
    </w:p>
    <w:p/>
    <w:p>
      <w:r>
        <w:t>──────────────────────────────────────────</w:t>
      </w:r>
    </w:p>
    <w:p>
      <w:r>
        <w:rPr>
          <w:b/>
        </w:rPr>
        <w:t>End of Report</w:t>
      </w:r>
    </w:p>
    <w:p>
      <w:r>
        <w:rPr>
          <w:b w:val="0"/>
        </w:rPr>
        <w:t>Community Digital Rights Initiative (CDRI) | Q3 2024 Quarterly Progress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