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Final Narrative Report</w:t>
      </w:r>
    </w:p>
    <w:p>
      <w:pPr>
        <w:pStyle w:val="Heading2"/>
      </w:pPr>
      <w:r>
        <w:t>Background</w:t>
      </w:r>
    </w:p>
    <w:p>
      <w:r>
        <w:t>The Sunridge Initiative was established to bridge the gap between human rights advocacy and technical standards development in the Pacific Coast region. The project operated from September 2023 to August 2024.</w:t>
      </w:r>
    </w:p>
    <w:p>
      <w:r>
        <w:t>At the outset, civil society organizations in the region had limited capacity to engage with Internet governance processes. Technical discussions remained dominated by industry representatives and government agencies, with minimal input from rights-focused groups.</w:t>
      </w:r>
    </w:p>
    <w:p>
      <w:r>
        <w:t>Administrative fragmentation across multiple government agencies created inconsistent approaches to digital regulation. The telecommunications authority, the data protection commission, and the cybersecurity agency each operated under different mandates with little coordination.</w:t>
      </w:r>
    </w:p>
    <w:p>
      <w:pPr>
        <w:pStyle w:val="Heading2"/>
      </w:pPr>
      <w:r>
        <w:t>Changes and Results</w:t>
      </w:r>
    </w:p>
    <w:p>
      <w:r>
        <w:t>Over the project period, the organization developed a comprehensive advocacy toolkit that has been formally adopted by six regional civil society groups as their standard framework for engaging with standards bodies.</w:t>
      </w:r>
    </w:p>
    <w:p>
      <w:r>
        <w:t>We established the first regional Digital Rights Observatory, a permanent monitoring body that tracks implementation of technical standards affecting human rights. The Observatory now publishes quarterly assessments and has been formally recognized by the regional Internet governance forum as an official stakeholder group.</w:t>
      </w:r>
    </w:p>
    <w:p>
      <w:r>
        <w:t>Three policy recommendations from our research were incorporated into the revised National Cybersecurity Strategy, specifically regarding encryption standards, data localization requirements, and surveillance oversight mechanisms.</w:t>
      </w:r>
    </w:p>
    <w:p>
      <w:r>
        <w:t>The parliamentary committee on technology invited our executive director to serve as a permanent technical advisor on digital rights matters. This institutionalized relationship ensures ongoing civil society input into legislative processes.</w:t>
      </w:r>
    </w:p>
    <w:p>
      <w:r>
        <w:t>The number of civil society representatives participating in regional standards meetings increased from 4 to 23 over the project period, representing a sustained shift in stakeholder composition.</w:t>
      </w:r>
    </w:p>
    <w:p>
      <w:pPr>
        <w:pStyle w:val="Heading2"/>
      </w:pPr>
      <w:r>
        <w:t>Learning</w:t>
      </w:r>
    </w:p>
    <w:p>
      <w:r>
        <w:t>We initially assumed that many policies would be ready for immediate revision. However, the reality was that the region lacked a basic legal framework for Internet governance, requiring us to focus first on foundational capacity building before pursuing specific policy changes.</w:t>
      </w:r>
    </w:p>
    <w:p>
      <w:r>
        <w:t>Building trust with legislators required more time than anticipated. We found that sustained engagement over multiple meetings was far more effective than one-off presentations. The most productive relationships developed through informal consultations rather than formal hearings.</w:t>
      </w:r>
    </w:p>
    <w:p>
      <w:r>
        <w:t>The balance of technical and non-technical stakeholders in our convenings was consistently praised by participants. Maintaining this balance required deliberate design choices in agenda setting and facilitation methods.</w:t>
      </w:r>
    </w:p>
    <w:p>
      <w:r>
        <w:t>Monitoring trends in international standards organizations proved highly valuable for anticipating domestic policy discussions. Several emerging issues at the global level arrived in regional debates 6-12 months later, giving our coalition time to prepare informed positions.</w:t>
      </w:r>
    </w:p>
    <w:p>
      <w:pPr>
        <w:pStyle w:val="Heading2"/>
      </w:pPr>
      <w:r>
        <w:t>Sustainability</w:t>
      </w:r>
    </w:p>
    <w:p>
      <w:r>
        <w:t>The coalition has secured independent funding to continue operations for the next two years. The advisory council continues to meet monthly, and three working groups remain active on encryption policy, platform governance, and accessibility standards.</w:t>
      </w:r>
    </w:p>
    <w:p>
      <w:r>
        <w:t>Two universities have integrated materials from our training program into their graduate curricula on technology policy, ensuring knowledge transfer beyond the project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