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Quarterly Progress Report</w:t>
      </w:r>
    </w:p>
    <w:p>
      <w:pPr>
        <w:pStyle w:val="Heading2"/>
      </w:pPr>
      <w:r>
        <w:t>Background</w:t>
      </w:r>
    </w:p>
    <w:p>
      <w:r>
        <w:t>The digital rights landscape in the Riverdale region has been shaped by rapid urbanization and uneven access to technology. Despite economic growth, many rural communities remain disconnected from meaningful participation in digital governance processes.</w:t>
      </w:r>
    </w:p>
    <w:p>
      <w:r>
        <w:t>A new national data protection regulation was enacted in March, requiring all telecommunications providers to publish transparency reports. This marks a significant shift in the regulatory environment.</w:t>
      </w:r>
    </w:p>
    <w:p>
      <w:r>
        <w:t>Civic organizations have historically struggled to engage with technical standards bodies, partly due to a lack of accessible training materials and the highly specialized nature of these forums.</w:t>
      </w:r>
    </w:p>
    <w:p>
      <w:pPr>
        <w:pStyle w:val="Heading2"/>
      </w:pPr>
      <w:r>
        <w:t>Objective 1: Strengthen civil society participation in digital governance</w:t>
      </w:r>
    </w:p>
    <w:p>
      <w:pPr>
        <w:pStyle w:val="Heading2"/>
      </w:pPr>
      <w:r>
        <w:t>Activities</w:t>
      </w:r>
    </w:p>
    <w:p>
      <w:r>
        <w:t>Greenfield Alliance attended the Regional Internet Governance Forum held in Mapleton. The team participated in three working sessions focused on content moderation and platform accountability.</w:t>
      </w:r>
    </w:p>
    <w:p>
      <w:r>
        <w:t>We organized a two-day workshop on digital rights fundamentals, bringing together 28 participants from 12 local organizations. The workshop covered topics including data privacy, algorithmic transparency, and freedom of expression online.</w:t>
      </w:r>
    </w:p>
    <w:p>
      <w:r>
        <w:t>The project coordinator submitted a written contribution to the open consultation on the proposed Digital Services Framework.</w:t>
      </w:r>
    </w:p>
    <w:p>
      <w:pPr>
        <w:pStyle w:val="Heading2"/>
      </w:pPr>
      <w:r>
        <w:t>Outcomes</w:t>
      </w:r>
    </w:p>
    <w:p>
      <w:r>
        <w:t>Following the workshop, four participating organizations formally committed to establishing a joint working group on digital governance. They signed a memorandum of understanding to coordinate their advocacy efforts over the next 18 months.</w:t>
      </w:r>
    </w:p>
    <w:p>
      <w:r>
        <w:t>Two legislators agreed to co-sponsor a parliamentary inquiry into algorithmic transparency in public services, after a series of briefing sessions organized by the coalition.</w:t>
      </w:r>
    </w:p>
    <w:p>
      <w:r>
        <w:t>The Ministry of Communications adopted three of the five recommendations from our policy brief on rural connectivity, incorporating them into the revised National Broadband Plan.</w:t>
      </w:r>
    </w:p>
    <w:p>
      <w:r>
        <w:t>Community awareness of digital rights issues has grown noticeably. A post-event survey showed that 73% of workshop attendees reported increased confidence in engaging with technical policy discussions.</w:t>
      </w:r>
    </w:p>
    <w:p>
      <w:pPr>
        <w:pStyle w:val="Heading2"/>
      </w:pPr>
      <w:r>
        <w:t>Objective 2: Build a sustainable multi-stakeholder coalition</w:t>
      </w:r>
    </w:p>
    <w:p>
      <w:r>
        <w:t>We held recruitment meetings with potential coalition members from academia, the private sector, and grassroots organizations. A total of 15 new members joined the advisory council this quarter.</w:t>
      </w:r>
    </w:p>
    <w:p>
      <w:r>
        <w:t>The coalition drafted its first position paper on cross-border data flows, drawing on input from both technical experts and human rights scholars.</w:t>
      </w:r>
    </w:p>
    <w:p>
      <w:r>
        <w:t>Three regional telecom operators expressed interest in participating in a voluntary accountability pilot program proposed by the coalition.</w:t>
      </w:r>
    </w:p>
    <w:p>
      <w:pPr>
        <w:pStyle w:val="Heading2"/>
      </w:pPr>
      <w:r>
        <w:t>Challenges</w:t>
      </w:r>
    </w:p>
    <w:p>
      <w:r>
        <w:t>Staff turnover at partner organizations slowed progress on the joint research initiative. Two key researchers left during the quarter, requiring us to revise the project timeline.</w:t>
      </w:r>
    </w:p>
    <w:p>
      <w:r>
        <w:t>Securing meeting space for larger convenings remains difficult due to budget constraints. We are exploring partnerships with university facilities to address this.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