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Quarterly Progress Report - Q2</w:t>
      </w:r>
    </w:p>
    <w:p>
      <w:pPr>
        <w:pStyle w:val="Heading2"/>
      </w:pPr>
      <w:r>
        <w:t>Executive Summary</w:t>
      </w:r>
    </w:p>
    <w:p>
      <w:r>
        <w:t>Harbor Foundation continued implementing the Digital Accountability Initiative during the second quarter. Key achievements include completing the localized research methodology, launching the stakeholder mapping exercise, and initiating company engagement.</w:t>
      </w:r>
    </w:p>
    <w:p>
      <w:pPr>
        <w:pStyle w:val="Heading2"/>
      </w:pPr>
      <w:r>
        <w:t>Objective 1: Adapt international accountability standards for regional application</w:t>
      </w:r>
    </w:p>
    <w:p>
      <w:pPr>
        <w:pStyle w:val="Heading2"/>
      </w:pPr>
      <w:r>
        <w:t>Activities</w:t>
      </w:r>
    </w:p>
    <w:p>
      <w:r>
        <w:t>Harbor Foundation produced a detailed assessment of the Digital Governance Assessment Framework, identifying areas requiring adaptation for the regional regulatory context. The assessment was shared with all project partners.</w:t>
      </w:r>
    </w:p>
    <w:p>
      <w:r>
        <w:t>We developed a training program on digital rights research methods. Two newly recruited researchers completed the program and began independent work on company profiles.</w:t>
      </w:r>
    </w:p>
    <w:p>
      <w:r>
        <w:t>Harbor Foundation facilitated a coordination meeting with partner organizations to align on research timelines and share preliminary findings from desk research.</w:t>
      </w:r>
    </w:p>
    <w:p>
      <w:r>
        <w:t>To maintain public awareness, we published three articles on corporate digital accountability in our newsletter, reaching approximately 4,500 subscribers.</w:t>
      </w:r>
    </w:p>
    <w:p>
      <w:pPr>
        <w:pStyle w:val="Heading2"/>
      </w:pPr>
      <w:r>
        <w:t>Objective 2: Build regional capacity for corporate accountability research</w:t>
      </w:r>
    </w:p>
    <w:p>
      <w:r>
        <w:t>The research team completed a regulatory landscape analysis covering data protection, content moderation, and platform liability frameworks across five jurisdictions in the region.</w:t>
      </w:r>
    </w:p>
    <w:p>
      <w:r>
        <w:t>We translated and adapted the full set of research indicators into the local language. This required extensive consultation with legal experts to ensure terminology accuracy.</w:t>
      </w:r>
    </w:p>
    <w:p>
      <w:r>
        <w:t>Three partner organizations agreed to pilot the adapted methodology in their respective countries, forming a regional research network that will produce comparable findings.</w:t>
      </w:r>
    </w:p>
    <w:p>
      <w:r>
        <w:t>The preliminary findings suggest that most major telecommunications companies in the region have adopted basic transparency reporting practices, but significant gaps remain in areas such as algorithmic accountability and government request disclosures.</w:t>
      </w:r>
    </w:p>
    <w:p>
      <w:pPr>
        <w:pStyle w:val="Heading2"/>
      </w:pPr>
      <w:r>
        <w:t>Challenges</w:t>
      </w:r>
    </w:p>
    <w:p>
      <w:r>
        <w:t>Understanding the precise definitions of some research indicators proved difficult due to the specialized legal language used in the original methodology. We addressed this through weekly discussion sessions with the methodology team.</w:t>
      </w:r>
    </w:p>
    <w:p>
      <w:r>
        <w:t>Developing company selection criteria required more deliberation than expected. Current guidance provides limited direction for selecting companies in markets with different ownership structures and regulatory frameworks.</w:t>
      </w:r>
    </w:p>
    <w:p>
      <w:pPr>
        <w:pStyle w:val="Heading2"/>
      </w:pPr>
      <w:r>
        <w:t>Planned Activities for Next Quarter</w:t>
      </w:r>
    </w:p>
    <w:p>
      <w:r>
        <w:t>Finalize the research plan including company selection, indicator prioritization, and data collection workflow.</w:t>
      </w:r>
    </w:p>
    <w:p>
      <w:r>
        <w:t>Begin primary data collection through company questionnaires and stakeholder interviews.</w:t>
      </w:r>
    </w:p>
    <w:p>
      <w:r>
        <w:t>Publish the adapted research methodology guide on our website to support transparency and potential replication by other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