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20C9B" w14:textId="160F8310" w:rsidR="00405204" w:rsidRDefault="00405204" w:rsidP="00FB25A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William Mohr Homework 2.</w:t>
      </w:r>
    </w:p>
    <w:p w14:paraId="489909FB" w14:textId="77777777" w:rsidR="00405204" w:rsidRDefault="00405204" w:rsidP="00FB25A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</w:p>
    <w:p w14:paraId="2B029910" w14:textId="77777777" w:rsidR="00405204" w:rsidRDefault="00405204" w:rsidP="00FB25A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</w:p>
    <w:p w14:paraId="54CC439C" w14:textId="3220AFBC" w:rsidR="00405204" w:rsidRDefault="00FB25A8" w:rsidP="00FB25A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</w:p>
    <w:p w14:paraId="7B94AD3E" w14:textId="77777777" w:rsidR="00AE364F" w:rsidRDefault="00AE364F" w:rsidP="00AE364F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Year  | |S|  | P(S)     | P(S)/|S| | |L|  | P(L)     | P(L)/|L| | |S+L| | P(S+L) | P(S+L)/|S+L|</w:t>
      </w:r>
    </w:p>
    <w:p w14:paraId="11C70BAD" w14:textId="77777777" w:rsidR="00AE364F" w:rsidRDefault="00AE364F" w:rsidP="00AE364F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------------------------------------------------------------------------------------------------</w:t>
      </w:r>
    </w:p>
    <w:p w14:paraId="1C17B1E8" w14:textId="77777777" w:rsidR="00AE364F" w:rsidRDefault="00AE364F" w:rsidP="00AE364F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1     | 36   | 44.31    | 1.23     | 165  | -588.65  | -3.57    | 201   | -544.34 | -2.71       </w:t>
      </w:r>
    </w:p>
    <w:p w14:paraId="5410E4C0" w14:textId="77777777" w:rsidR="00AE364F" w:rsidRDefault="00AE364F" w:rsidP="00AE364F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2     | 91   | -86.92   | -0.96    | 89   | 68.61    | 0.77     | 180   | -18.31 | -0.1        </w:t>
      </w:r>
    </w:p>
    <w:p w14:paraId="272480EE" w14:textId="77777777" w:rsidR="00AE364F" w:rsidRDefault="00AE364F" w:rsidP="00AE364F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3     | 101  | -13.2    | -0.13    | 143  | 107.45   | 0.75     | 244   | 94.25  | 0.39        </w:t>
      </w:r>
    </w:p>
    <w:p w14:paraId="3E72E282" w14:textId="77777777" w:rsidR="00AE364F" w:rsidRDefault="00AE364F" w:rsidP="00AE364F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4     | 136  | -53.97   | -0.4     | 110  | -57.29   | -0.52    | 246   | -111.26 | -0.45       </w:t>
      </w:r>
    </w:p>
    <w:p w14:paraId="586869F8" w14:textId="77777777" w:rsidR="00AE364F" w:rsidRDefault="00AE364F" w:rsidP="00AE364F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5     | 142  | -24.08   | -0.17    | 102  | -35.2    | -0.35    | 244   | -59.29 | -0.24       </w:t>
      </w:r>
    </w:p>
    <w:p w14:paraId="38B639A4" w14:textId="77777777" w:rsidR="00AE364F" w:rsidRDefault="00AE364F" w:rsidP="00AE364F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1_5   | 506  | -133.86  | -0.26    | 609  | -505.09  | -0.83    | 1115  | -638.95 | -0.57       </w:t>
      </w:r>
    </w:p>
    <w:p w14:paraId="6E4E8ABD" w14:textId="77777777" w:rsidR="00375BB0" w:rsidRDefault="00375BB0" w:rsidP="00375BB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925713E" w14:textId="4E641441" w:rsidR="00375BB0" w:rsidRDefault="00375BB0" w:rsidP="00375BB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The above is for GME</w:t>
      </w:r>
    </w:p>
    <w:p w14:paraId="260C7A39" w14:textId="77777777" w:rsidR="00375BB0" w:rsidRDefault="00375BB0" w:rsidP="00375BB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5A8DD152" w14:textId="77777777" w:rsidR="00AE364F" w:rsidRDefault="00AE364F" w:rsidP="00AE364F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Year  | |S|  | P(S)     | P(S)/|S| | |L|  | P(L)     | P(L)/|L| | |S+L| | P(S+L) | P(S+L)/|S+L|</w:t>
      </w:r>
    </w:p>
    <w:p w14:paraId="0DA42383" w14:textId="77777777" w:rsidR="00AE364F" w:rsidRDefault="00AE364F" w:rsidP="00AE364F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------------------------------------------------------------------------------------------------</w:t>
      </w:r>
    </w:p>
    <w:p w14:paraId="6CF32191" w14:textId="77777777" w:rsidR="00AE364F" w:rsidRDefault="00AE364F" w:rsidP="00AE364F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1     | 0    | 0        | 0        | 251  | -1853.09 | -7.38    | 251   | -1853.09 | -7.38       </w:t>
      </w:r>
    </w:p>
    <w:p w14:paraId="465BB4BB" w14:textId="77777777" w:rsidR="00AE364F" w:rsidRDefault="00AE364F" w:rsidP="00AE364F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2     | 4    | 25.17    | 6.29     | 250  | -1366.6  | -5.47    | 254   | -1341.44 | -5.28       </w:t>
      </w:r>
    </w:p>
    <w:p w14:paraId="473149EB" w14:textId="77777777" w:rsidR="00AE364F" w:rsidRDefault="00AE364F" w:rsidP="00AE364F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3     | 0    | 0        | 0        | 251  | -965.37  | -3.85    | 251   | -965.37 | -3.85       </w:t>
      </w:r>
    </w:p>
    <w:p w14:paraId="48ED89FF" w14:textId="77777777" w:rsidR="00AE364F" w:rsidRDefault="00AE364F" w:rsidP="00AE364F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4     | 1    | 3.62     | 3.62     | 249  | -638.28  | -2.56    | 250   | -634.66 | -2.54       </w:t>
      </w:r>
    </w:p>
    <w:p w14:paraId="5BD3DC5E" w14:textId="77777777" w:rsidR="00AE364F" w:rsidRDefault="00AE364F" w:rsidP="00AE364F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5     | 16   | 7.33     | 0.46     | 233  | -225.22  | -0.97    | 249   | -217.89 | -0.88       </w:t>
      </w:r>
    </w:p>
    <w:p w14:paraId="69B9EF18" w14:textId="77777777" w:rsidR="00AE364F" w:rsidRDefault="00AE364F" w:rsidP="00AE364F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1_5   | 21   | 36.12    | 1.72     | 1234 | -5048.57 | -4.09    | 1255  | -5012.45 | -3.99 </w:t>
      </w:r>
    </w:p>
    <w:p w14:paraId="375B5009" w14:textId="77777777" w:rsidR="00375BB0" w:rsidRDefault="00375BB0" w:rsidP="00375BB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E2A8D79" w14:textId="0B19A38C" w:rsidR="00375BB0" w:rsidRDefault="00375BB0" w:rsidP="00375BB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The above is for SPY</w:t>
      </w:r>
    </w:p>
    <w:p w14:paraId="58BFE12F" w14:textId="77777777" w:rsidR="00375BB0" w:rsidRDefault="00375BB0" w:rsidP="00375BB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A7C7D79" w14:textId="2AB8B4C4" w:rsidR="00375BB0" w:rsidRDefault="00375BB0" w:rsidP="00FB25A8">
      <w:pPr>
        <w:pStyle w:val="NormalWeb"/>
        <w:numPr>
          <w:ilvl w:val="0"/>
          <w:numId w:val="1"/>
        </w:numPr>
        <w:rPr>
          <w:rFonts w:ascii="CMR17" w:hAnsi="CMR17"/>
          <w:sz w:val="34"/>
          <w:szCs w:val="34"/>
        </w:rPr>
      </w:pPr>
      <w:r>
        <w:rPr>
          <w:rFonts w:ascii="CMR17" w:hAnsi="CMR17"/>
          <w:sz w:val="34"/>
          <w:szCs w:val="34"/>
        </w:rPr>
        <w:t xml:space="preserve">what is the average daily profit for your stock and ”spy”? Since you always start with $100, this number will coincide with percentage profit. </w:t>
      </w:r>
    </w:p>
    <w:p w14:paraId="68E3938A" w14:textId="55635EC2" w:rsidR="00FB25A8" w:rsidRDefault="00FB25A8" w:rsidP="00FB25A8">
      <w:pPr>
        <w:pStyle w:val="NormalWeb"/>
        <w:ind w:left="720"/>
        <w:rPr>
          <w:rFonts w:ascii="CMR17" w:hAnsi="CMR17"/>
          <w:sz w:val="34"/>
          <w:szCs w:val="34"/>
        </w:rPr>
      </w:pPr>
      <w:r>
        <w:rPr>
          <w:rFonts w:ascii="CMR17" w:hAnsi="CMR17"/>
          <w:sz w:val="34"/>
          <w:szCs w:val="34"/>
        </w:rPr>
        <w:t>Answer: The avg daily profit is -.057 for GME and -3.99 for SPY</w:t>
      </w:r>
    </w:p>
    <w:p w14:paraId="7ECCBA88" w14:textId="77777777" w:rsidR="000E6460" w:rsidRDefault="000E6460" w:rsidP="000E6460">
      <w:pPr>
        <w:pStyle w:val="NormalWeb"/>
        <w:numPr>
          <w:ilvl w:val="0"/>
          <w:numId w:val="1"/>
        </w:numPr>
        <w:rPr>
          <w:rFonts w:ascii="CMR17" w:hAnsi="CMR17"/>
          <w:sz w:val="34"/>
          <w:szCs w:val="34"/>
        </w:rPr>
      </w:pPr>
      <w:r>
        <w:rPr>
          <w:rFonts w:ascii="CMR17" w:hAnsi="CMR17"/>
          <w:sz w:val="34"/>
          <w:szCs w:val="34"/>
        </w:rPr>
        <w:t xml:space="preserve">is the profit from ”long” positions (when you buy) higher or lower than your profit from ’short” positions (when you sell short)? What is more profitable: long or short positions? </w:t>
      </w:r>
    </w:p>
    <w:p w14:paraId="3C7E76D2" w14:textId="076F7DF5" w:rsidR="00FB25A8" w:rsidRPr="00FB25A8" w:rsidRDefault="000E6460" w:rsidP="000E6460">
      <w:pPr>
        <w:pStyle w:val="NormalWeb"/>
        <w:ind w:left="720"/>
        <w:rPr>
          <w:rFonts w:ascii="CMR17" w:hAnsi="CMR17"/>
          <w:sz w:val="34"/>
          <w:szCs w:val="34"/>
        </w:rPr>
      </w:pPr>
      <w:r>
        <w:rPr>
          <w:rFonts w:ascii="CMR17" w:hAnsi="CMR17"/>
          <w:sz w:val="34"/>
          <w:szCs w:val="34"/>
        </w:rPr>
        <w:t>Answer: For GME profit is higher for short positions.  For SPY, profit is also higher for short positions.</w:t>
      </w:r>
    </w:p>
    <w:p w14:paraId="0A00752B" w14:textId="271A5948" w:rsidR="000E6460" w:rsidRDefault="000E6460" w:rsidP="000E6460">
      <w:pPr>
        <w:pStyle w:val="NormalWeb"/>
        <w:numPr>
          <w:ilvl w:val="0"/>
          <w:numId w:val="1"/>
        </w:numPr>
        <w:rPr>
          <w:rFonts w:ascii="CMR17" w:hAnsi="CMR17"/>
          <w:sz w:val="34"/>
          <w:szCs w:val="34"/>
        </w:rPr>
      </w:pPr>
      <w:r>
        <w:rPr>
          <w:rFonts w:ascii="CMR17" w:hAnsi="CMR17"/>
          <w:sz w:val="34"/>
          <w:szCs w:val="34"/>
        </w:rPr>
        <w:t xml:space="preserve">suppose you add a restriction that you will trade only if the absolute value of overnight return is more than some </w:t>
      </w:r>
      <w:r>
        <w:rPr>
          <w:rFonts w:ascii="CMR17" w:hAnsi="CMR17"/>
          <w:sz w:val="34"/>
          <w:szCs w:val="34"/>
        </w:rPr>
        <w:lastRenderedPageBreak/>
        <w:t xml:space="preserve">threshold value </w:t>
      </w:r>
      <w:r>
        <w:rPr>
          <w:rFonts w:ascii="CMMI12" w:hAnsi="CMMI12"/>
          <w:sz w:val="34"/>
          <w:szCs w:val="34"/>
        </w:rPr>
        <w:t xml:space="preserve">x </w:t>
      </w:r>
      <w:r>
        <w:rPr>
          <w:rFonts w:ascii="CMR17" w:hAnsi="CMR17"/>
          <w:sz w:val="34"/>
          <w:szCs w:val="34"/>
        </w:rPr>
        <w:t xml:space="preserve">(e.g. 5%). (for example, unless stock price rises or falls overnight by more than 5%, you will not trade). With such a restriction, you will trade less frequently but maybe your </w:t>
      </w:r>
      <w:proofErr w:type="spellStart"/>
      <w:r>
        <w:rPr>
          <w:rFonts w:ascii="CMR17" w:hAnsi="CMR17"/>
          <w:sz w:val="34"/>
          <w:szCs w:val="34"/>
        </w:rPr>
        <w:t>profut</w:t>
      </w:r>
      <w:proofErr w:type="spellEnd"/>
      <w:r>
        <w:rPr>
          <w:rFonts w:ascii="CMR17" w:hAnsi="CMR17"/>
          <w:sz w:val="34"/>
          <w:szCs w:val="34"/>
        </w:rPr>
        <w:t xml:space="preserve"> per trade will increase. We would like to investigate the impact of this </w:t>
      </w:r>
      <w:r>
        <w:rPr>
          <w:rFonts w:ascii="CMTI12" w:hAnsi="CMTI12"/>
          <w:sz w:val="34"/>
          <w:szCs w:val="34"/>
        </w:rPr>
        <w:t xml:space="preserve">hyperparameter </w:t>
      </w:r>
      <w:r>
        <w:rPr>
          <w:rFonts w:ascii="CMMI12" w:hAnsi="CMMI12"/>
          <w:sz w:val="34"/>
          <w:szCs w:val="34"/>
        </w:rPr>
        <w:t>x</w:t>
      </w:r>
      <w:r>
        <w:rPr>
          <w:rFonts w:ascii="CMR17" w:hAnsi="CMR17"/>
          <w:sz w:val="34"/>
          <w:szCs w:val="34"/>
        </w:rPr>
        <w:t xml:space="preserve">. Take 100 points for </w:t>
      </w:r>
      <w:r>
        <w:rPr>
          <w:rFonts w:ascii="CMMI12" w:hAnsi="CMMI12"/>
          <w:sz w:val="34"/>
          <w:szCs w:val="34"/>
        </w:rPr>
        <w:t xml:space="preserve">x </w:t>
      </w:r>
      <w:r>
        <w:rPr>
          <w:rFonts w:ascii="CMR17" w:hAnsi="CMR17"/>
          <w:sz w:val="34"/>
          <w:szCs w:val="34"/>
        </w:rPr>
        <w:t xml:space="preserve">from 0 to 10% and plot the average profit per trade </w:t>
      </w:r>
      <w:r>
        <w:rPr>
          <w:rFonts w:ascii="CMMI12" w:hAnsi="CMMI12"/>
          <w:sz w:val="34"/>
          <w:szCs w:val="34"/>
        </w:rPr>
        <w:t xml:space="preserve">P </w:t>
      </w:r>
      <w:r>
        <w:rPr>
          <w:rFonts w:ascii="CMR17" w:hAnsi="CMR17"/>
          <w:sz w:val="34"/>
          <w:szCs w:val="34"/>
        </w:rPr>
        <w:t>(</w:t>
      </w:r>
      <w:r>
        <w:rPr>
          <w:rFonts w:ascii="CMMI12" w:hAnsi="CMMI12"/>
          <w:sz w:val="34"/>
          <w:szCs w:val="34"/>
        </w:rPr>
        <w:t xml:space="preserve">S </w:t>
      </w:r>
      <w:r>
        <w:rPr>
          <w:rFonts w:ascii="CMR17" w:hAnsi="CMR17"/>
          <w:sz w:val="34"/>
          <w:szCs w:val="34"/>
        </w:rPr>
        <w:t xml:space="preserve">+ </w:t>
      </w:r>
      <w:r>
        <w:rPr>
          <w:rFonts w:ascii="CMMI12" w:hAnsi="CMMI12"/>
          <w:sz w:val="34"/>
          <w:szCs w:val="34"/>
        </w:rPr>
        <w:t>L</w:t>
      </w:r>
      <w:r>
        <w:rPr>
          <w:rFonts w:ascii="CMR17" w:hAnsi="CMR17"/>
          <w:sz w:val="34"/>
          <w:szCs w:val="34"/>
        </w:rPr>
        <w:t>)</w:t>
      </w:r>
      <w:r>
        <w:rPr>
          <w:rFonts w:ascii="CMMI12" w:hAnsi="CMMI12"/>
          <w:sz w:val="34"/>
          <w:szCs w:val="34"/>
        </w:rPr>
        <w:t>/</w:t>
      </w:r>
      <w:r>
        <w:rPr>
          <w:rFonts w:ascii="CMSY10" w:hAnsi="CMSY10"/>
          <w:sz w:val="34"/>
          <w:szCs w:val="34"/>
        </w:rPr>
        <w:t>|</w:t>
      </w:r>
      <w:r>
        <w:rPr>
          <w:rFonts w:ascii="CMMI12" w:hAnsi="CMMI12"/>
          <w:sz w:val="34"/>
          <w:szCs w:val="34"/>
        </w:rPr>
        <w:t xml:space="preserve">S </w:t>
      </w:r>
      <w:r>
        <w:rPr>
          <w:rFonts w:ascii="CMR17" w:hAnsi="CMR17"/>
          <w:sz w:val="34"/>
          <w:szCs w:val="34"/>
        </w:rPr>
        <w:t xml:space="preserve">+ </w:t>
      </w:r>
      <w:r>
        <w:rPr>
          <w:rFonts w:ascii="CMMI12" w:hAnsi="CMMI12"/>
          <w:sz w:val="34"/>
          <w:szCs w:val="34"/>
        </w:rPr>
        <w:t>L</w:t>
      </w:r>
      <w:r>
        <w:rPr>
          <w:rFonts w:ascii="CMSY10" w:hAnsi="CMSY10"/>
          <w:sz w:val="34"/>
          <w:szCs w:val="34"/>
        </w:rPr>
        <w:t xml:space="preserve">| </w:t>
      </w:r>
      <w:r>
        <w:rPr>
          <w:rFonts w:ascii="CMR17" w:hAnsi="CMR17"/>
          <w:sz w:val="34"/>
          <w:szCs w:val="34"/>
        </w:rPr>
        <w:t xml:space="preserve">(over 5 years). Discuss your findings. Any patterns? Any optimal values for </w:t>
      </w:r>
      <w:r>
        <w:rPr>
          <w:rFonts w:ascii="CMMI12" w:hAnsi="CMMI12"/>
          <w:sz w:val="34"/>
          <w:szCs w:val="34"/>
        </w:rPr>
        <w:t>x</w:t>
      </w:r>
      <w:r>
        <w:rPr>
          <w:rFonts w:ascii="CMR17" w:hAnsi="CMR17"/>
          <w:sz w:val="34"/>
          <w:szCs w:val="34"/>
        </w:rPr>
        <w:t xml:space="preserve">? </w:t>
      </w:r>
    </w:p>
    <w:p w14:paraId="4EC1BE3E" w14:textId="77777777" w:rsidR="008E6367" w:rsidRDefault="008E6367" w:rsidP="008E6367">
      <w:pPr>
        <w:pStyle w:val="NormalWeb"/>
        <w:ind w:left="720"/>
        <w:rPr>
          <w:rFonts w:ascii="CMR17" w:hAnsi="CMR17"/>
          <w:sz w:val="34"/>
          <w:szCs w:val="34"/>
        </w:rPr>
      </w:pPr>
      <w:r>
        <w:rPr>
          <w:rFonts w:ascii="CMR17" w:hAnsi="CMR17"/>
          <w:sz w:val="34"/>
          <w:szCs w:val="34"/>
        </w:rPr>
        <w:t>Answer: for GME profits decrease, bottom out around a 6% threshold, and then increase steadily to peak near the end of the range investigated of 10%</w:t>
      </w:r>
    </w:p>
    <w:p w14:paraId="6577B3D6" w14:textId="77777777" w:rsidR="008E6367" w:rsidRDefault="008E6367" w:rsidP="008E6367">
      <w:pPr>
        <w:pStyle w:val="NormalWeb"/>
        <w:ind w:left="720"/>
        <w:rPr>
          <w:rFonts w:ascii="CMR17" w:hAnsi="CMR17"/>
          <w:sz w:val="34"/>
          <w:szCs w:val="34"/>
        </w:rPr>
      </w:pPr>
      <w:r>
        <w:rPr>
          <w:rFonts w:ascii="CMR17" w:hAnsi="CMR17"/>
          <w:sz w:val="34"/>
          <w:szCs w:val="34"/>
        </w:rPr>
        <w:t>For SPY on the other hand, profits keep on decreasing  as the threshold increases.</w:t>
      </w:r>
    </w:p>
    <w:p w14:paraId="65C60493" w14:textId="449ACC3F" w:rsidR="008E6367" w:rsidRDefault="0081469A" w:rsidP="008E6367">
      <w:pPr>
        <w:pStyle w:val="NormalWeb"/>
        <w:numPr>
          <w:ilvl w:val="0"/>
          <w:numId w:val="1"/>
        </w:numPr>
        <w:rPr>
          <w:rFonts w:ascii="CMR17" w:hAnsi="CMR17"/>
          <w:sz w:val="34"/>
          <w:szCs w:val="34"/>
        </w:rPr>
      </w:pPr>
      <w:r>
        <w:rPr>
          <w:rFonts w:ascii="CMR17" w:hAnsi="CMR17"/>
          <w:sz w:val="34"/>
          <w:szCs w:val="34"/>
        </w:rPr>
        <w:t>The ‘long ’ positions generally become less profitable until ~ 6% and then increase in profitability once again for GME, while for spy they decrease until around .9 before increasing slightly thereafter.</w:t>
      </w:r>
      <w:r w:rsidR="00837F54">
        <w:rPr>
          <w:rFonts w:ascii="CMR17" w:hAnsi="CMR17"/>
          <w:sz w:val="34"/>
          <w:szCs w:val="34"/>
        </w:rPr>
        <w:t xml:space="preserve">  For SPY profitability keeps dropping till the end of the </w:t>
      </w:r>
      <w:proofErr w:type="spellStart"/>
      <w:r w:rsidR="00837F54">
        <w:rPr>
          <w:rFonts w:ascii="CMR17" w:hAnsi="CMR17"/>
          <w:sz w:val="34"/>
          <w:szCs w:val="34"/>
        </w:rPr>
        <w:t>hyperparam</w:t>
      </w:r>
      <w:proofErr w:type="spellEnd"/>
      <w:r w:rsidR="00837F54">
        <w:rPr>
          <w:rFonts w:ascii="CMR17" w:hAnsi="CMR17"/>
          <w:sz w:val="34"/>
          <w:szCs w:val="34"/>
        </w:rPr>
        <w:t xml:space="preserve"> range.</w:t>
      </w:r>
    </w:p>
    <w:p w14:paraId="5A8A4DAC" w14:textId="07FCD41E" w:rsidR="0081469A" w:rsidRDefault="0081469A" w:rsidP="00837F54">
      <w:pPr>
        <w:pStyle w:val="NormalWeb"/>
        <w:ind w:left="720"/>
        <w:rPr>
          <w:rFonts w:ascii="CMR17" w:hAnsi="CMR17"/>
          <w:sz w:val="34"/>
          <w:szCs w:val="34"/>
        </w:rPr>
      </w:pPr>
      <w:r>
        <w:rPr>
          <w:rFonts w:ascii="CMR17" w:hAnsi="CMR17"/>
          <w:sz w:val="34"/>
          <w:szCs w:val="34"/>
        </w:rPr>
        <w:t>The “short” position</w:t>
      </w:r>
      <w:r w:rsidR="00837F54">
        <w:rPr>
          <w:rFonts w:ascii="CMR17" w:hAnsi="CMR17"/>
          <w:sz w:val="34"/>
          <w:szCs w:val="34"/>
        </w:rPr>
        <w:t xml:space="preserve">s behave very similarly to the ‘long positions.’  They are wavy for GME with the min profitability with the </w:t>
      </w:r>
      <w:proofErr w:type="spellStart"/>
      <w:r w:rsidR="00837F54">
        <w:rPr>
          <w:rFonts w:ascii="CMR17" w:hAnsi="CMR17"/>
          <w:sz w:val="34"/>
          <w:szCs w:val="34"/>
        </w:rPr>
        <w:t>hyperparam</w:t>
      </w:r>
      <w:proofErr w:type="spellEnd"/>
      <w:r w:rsidR="00837F54">
        <w:rPr>
          <w:rFonts w:ascii="CMR17" w:hAnsi="CMR17"/>
          <w:sz w:val="34"/>
          <w:szCs w:val="34"/>
        </w:rPr>
        <w:t xml:space="preserve"> around 6% and they </w:t>
      </w:r>
      <w:r w:rsidR="00EF6D52">
        <w:rPr>
          <w:rFonts w:ascii="CMR17" w:hAnsi="CMR17"/>
          <w:sz w:val="34"/>
          <w:szCs w:val="34"/>
        </w:rPr>
        <w:t>keep decreasing for SPY.</w:t>
      </w:r>
    </w:p>
    <w:p w14:paraId="1A7BD3A4" w14:textId="189B328B" w:rsidR="001F6341" w:rsidRDefault="001F6341" w:rsidP="001F6341">
      <w:pPr>
        <w:pStyle w:val="NormalWeb"/>
        <w:numPr>
          <w:ilvl w:val="0"/>
          <w:numId w:val="1"/>
        </w:numPr>
        <w:rPr>
          <w:rFonts w:ascii="CMR17" w:hAnsi="CMR17"/>
          <w:sz w:val="34"/>
          <w:szCs w:val="34"/>
        </w:rPr>
      </w:pPr>
      <w:r>
        <w:rPr>
          <w:rFonts w:ascii="CMR17" w:hAnsi="CMR17"/>
          <w:noProof/>
          <w:sz w:val="34"/>
          <w:szCs w:val="34"/>
        </w:rPr>
        <w:lastRenderedPageBreak/>
        <w:drawing>
          <wp:inline distT="0" distB="0" distL="0" distR="0" wp14:anchorId="0EFC1761" wp14:editId="1C057661">
            <wp:extent cx="5048250" cy="3776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62ACA" w14:textId="264AA382" w:rsidR="001F6341" w:rsidRDefault="001F6341" w:rsidP="001F6341">
      <w:pPr>
        <w:pStyle w:val="NormalWeb"/>
        <w:ind w:left="720"/>
        <w:rPr>
          <w:rFonts w:ascii="CMR17" w:hAnsi="CMR17"/>
          <w:sz w:val="34"/>
          <w:szCs w:val="34"/>
        </w:rPr>
      </w:pPr>
      <w:r>
        <w:rPr>
          <w:rFonts w:ascii="CMR17" w:hAnsi="CMR17"/>
          <w:sz w:val="34"/>
          <w:szCs w:val="34"/>
        </w:rPr>
        <w:t>From the above, it is apparent that GME has far more fives and much fewer zeros than the other digits.</w:t>
      </w:r>
    </w:p>
    <w:p w14:paraId="04D9D95A" w14:textId="543A94AF" w:rsidR="001F6341" w:rsidRDefault="001F6341" w:rsidP="001F6341">
      <w:pPr>
        <w:pStyle w:val="NormalWeb"/>
        <w:ind w:left="720"/>
        <w:rPr>
          <w:rFonts w:ascii="CMR17" w:hAnsi="CMR17"/>
          <w:sz w:val="34"/>
          <w:szCs w:val="34"/>
        </w:rPr>
      </w:pPr>
      <w:r>
        <w:rPr>
          <w:rFonts w:ascii="CMR17" w:hAnsi="CMR17"/>
          <w:noProof/>
          <w:sz w:val="34"/>
          <w:szCs w:val="34"/>
        </w:rPr>
        <w:lastRenderedPageBreak/>
        <w:drawing>
          <wp:inline distT="0" distB="0" distL="0" distR="0" wp14:anchorId="0FE8C9AF" wp14:editId="6BAC836B">
            <wp:extent cx="5048250" cy="3786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78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B4349" w14:textId="171E1B7B" w:rsidR="001F6341" w:rsidRDefault="001F6341" w:rsidP="001F6341">
      <w:pPr>
        <w:pStyle w:val="NormalWeb"/>
        <w:ind w:left="720"/>
        <w:rPr>
          <w:rFonts w:ascii="CMR17" w:hAnsi="CMR17"/>
          <w:sz w:val="34"/>
          <w:szCs w:val="34"/>
        </w:rPr>
      </w:pPr>
      <w:r>
        <w:rPr>
          <w:rFonts w:ascii="CMR17" w:hAnsi="CMR17"/>
          <w:sz w:val="34"/>
          <w:szCs w:val="34"/>
        </w:rPr>
        <w:t>From the above it is apparent that there are far fewer zeros than would be expected by chance for SPY.</w:t>
      </w:r>
    </w:p>
    <w:p w14:paraId="48D6E577" w14:textId="77777777" w:rsidR="001F6341" w:rsidRDefault="001F6341" w:rsidP="001F6341">
      <w:pPr>
        <w:pStyle w:val="NormalWeb"/>
        <w:ind w:left="720"/>
        <w:rPr>
          <w:rFonts w:ascii="CMR17" w:hAnsi="CMR17"/>
          <w:sz w:val="34"/>
          <w:szCs w:val="34"/>
        </w:rPr>
      </w:pPr>
    </w:p>
    <w:p w14:paraId="10C192B9" w14:textId="3CA785E0" w:rsidR="008E6367" w:rsidRDefault="008E6367" w:rsidP="008E6367">
      <w:pPr>
        <w:pStyle w:val="NormalWeb"/>
        <w:ind w:left="720"/>
        <w:rPr>
          <w:rFonts w:ascii="CMR17" w:hAnsi="CMR17"/>
          <w:sz w:val="34"/>
          <w:szCs w:val="34"/>
        </w:rPr>
      </w:pPr>
    </w:p>
    <w:p w14:paraId="1BD581E1" w14:textId="77777777" w:rsidR="00375BB0" w:rsidRDefault="00375BB0" w:rsidP="00375BB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71A3EF13" w14:textId="77777777" w:rsidR="00375BB0" w:rsidRDefault="00375BB0">
      <w:pPr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>
        <w:rPr>
          <w:rFonts w:ascii="var(--jp-code-font-family)" w:hAnsi="var(--jp-code-font-family)"/>
        </w:rPr>
        <w:br w:type="page"/>
      </w:r>
    </w:p>
    <w:p w14:paraId="3DB95C60" w14:textId="77777777" w:rsidR="00375BB0" w:rsidRDefault="00375BB0" w:rsidP="00375BB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740BE00E" w14:textId="77777777" w:rsidR="009703B6" w:rsidRDefault="009703B6"/>
    <w:sectPr w:rsidR="00970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MR17">
    <w:altName w:val="Cambria"/>
    <w:panose1 w:val="00000000000000000000"/>
    <w:charset w:val="00"/>
    <w:family w:val="roman"/>
    <w:notTrueType/>
    <w:pitch w:val="default"/>
  </w:font>
  <w:font w:name="CMMI12">
    <w:altName w:val="Cambria"/>
    <w:panose1 w:val="00000000000000000000"/>
    <w:charset w:val="00"/>
    <w:family w:val="roman"/>
    <w:notTrueType/>
    <w:pitch w:val="default"/>
  </w:font>
  <w:font w:name="CMTI12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058C"/>
    <w:multiLevelType w:val="multilevel"/>
    <w:tmpl w:val="DB420FA2"/>
    <w:lvl w:ilvl="0">
      <w:start w:val="2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1" w15:restartNumberingAfterBreak="0">
    <w:nsid w:val="4E696356"/>
    <w:multiLevelType w:val="hybridMultilevel"/>
    <w:tmpl w:val="69D6D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43204"/>
    <w:multiLevelType w:val="multilevel"/>
    <w:tmpl w:val="25C0A9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192224">
    <w:abstractNumId w:val="1"/>
  </w:num>
  <w:num w:numId="2" w16cid:durableId="1719471891">
    <w:abstractNumId w:val="2"/>
  </w:num>
  <w:num w:numId="3" w16cid:durableId="1769305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B0"/>
    <w:rsid w:val="000E6460"/>
    <w:rsid w:val="001F6341"/>
    <w:rsid w:val="00303884"/>
    <w:rsid w:val="00375BB0"/>
    <w:rsid w:val="00405204"/>
    <w:rsid w:val="0081469A"/>
    <w:rsid w:val="00832622"/>
    <w:rsid w:val="00837F54"/>
    <w:rsid w:val="008E6367"/>
    <w:rsid w:val="009703B6"/>
    <w:rsid w:val="0097331C"/>
    <w:rsid w:val="00AE364F"/>
    <w:rsid w:val="00B61524"/>
    <w:rsid w:val="00EF6D52"/>
    <w:rsid w:val="00FB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6CCF2"/>
  <w15:chartTrackingRefBased/>
  <w15:docId w15:val="{EC9D4672-07DC-475F-AEF9-381808F24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BB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75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3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5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3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Mohr, William, C.</dc:creator>
  <cp:keywords/>
  <dc:description/>
  <cp:lastModifiedBy>Mohr, William, C.</cp:lastModifiedBy>
  <cp:revision>3</cp:revision>
  <dcterms:created xsi:type="dcterms:W3CDTF">2023-09-19T23:59:00Z</dcterms:created>
  <dcterms:modified xsi:type="dcterms:W3CDTF">2023-09-20T02:38:00Z</dcterms:modified>
</cp:coreProperties>
</file>