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바탕체" w:hAnsi="바탕체" w:eastAsia="바탕체"/>
          <w:b/>
          <w:color w:val="000000"/>
          <w:sz w:val="40"/>
          <w:u w:val="single"/>
        </w:rPr>
        <w:t>RF 매칭 모듈 공급 리스크 및 대응 방향</w:t>
      </w:r>
    </w:p>
    <w:p>
      <w:pPr>
        <w:spacing w:before="0" w:after="180" w:line="312" w:lineRule="auto"/>
        <w:jc w:val="right"/>
      </w:pPr>
      <w:r>
        <w:rPr>
          <w:rFonts w:ascii="바탕체" w:hAnsi="바탕체" w:eastAsia="바탕체"/>
          <w:color w:val="000000"/>
          <w:sz w:val="28"/>
        </w:rPr>
        <w:t>2026. 10. 7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1. </w:t>
      </w:r>
      <w:r>
        <w:rPr>
          <w:rFonts w:ascii="바탕체" w:hAnsi="바탕체" w:eastAsia="바탕체"/>
          <w:b/>
          <w:color w:val="000000"/>
          <w:sz w:val="28"/>
        </w:rPr>
        <w:t>현 황</w:t>
      </w:r>
    </w:p>
    <w:p>
      <w:pPr>
        <w:keepNext/>
        <w:spacing w:before="0" w:after="0" w:line="343" w:lineRule="auto"/>
        <w:ind w:left="560" w:hanging="56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재고 : 180개 (10월 1일 기준 안전재고 4주분 대비 2.1주분),</w:t>
      </w:r>
    </w:p>
    <w:p>
      <w:pPr>
        <w:spacing w:before="0" w:after="120" w:line="343" w:lineRule="auto"/>
        <w:ind w:left="560" w:hanging="56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   </w:t>
      </w:r>
      <w:r>
        <w:rPr>
          <w:rFonts w:ascii="바탕체" w:hAnsi="바탕체" w:eastAsia="바탕체"/>
          <w:b/>
          <w:color w:val="000000"/>
          <w:sz w:val="28"/>
        </w:rPr>
        <w:t>11월 2주차 소진 예상</w:t>
      </w:r>
    </w:p>
    <w:p>
      <w:pPr>
        <w:keepNext/>
        <w:spacing w:before="0" w:after="0" w:line="343" w:lineRule="auto"/>
        <w:ind w:left="700" w:hanging="70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월 소요 약 360개(상반기 출하 증가로 전년 대비 35% 증가) 대비 월</w:t>
      </w:r>
    </w:p>
    <w:p>
      <w:pPr>
        <w:spacing w:before="0" w:after="360" w:line="343" w:lineRule="auto"/>
        <w:ind w:left="700" w:hanging="70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 </w:t>
      </w:r>
      <w:r>
        <w:rPr>
          <w:rFonts w:ascii="바탕체" w:hAnsi="바탕체" w:eastAsia="바탕체"/>
          <w:color w:val="000000"/>
          <w:sz w:val="28"/>
        </w:rPr>
        <w:t>입고 약 230개로 감소(리드타임 연장 영향)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공급 : A사 의존도 92%, 리드타임 28주 (전년 동기 18주)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9월 초 26주에서 추가 연장, 8월 전력 제한 영향 후속 생산 반영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A사 가동률 78%(8월) → 88%(9월 말), 평시 94% 미회복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납기 준수율 : 1분기 91% → 2분기 84% → 3분기(8월까지) 73%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단가 : 개당 1,850만원 (전년 대비 7% 인상)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2. </w:t>
      </w:r>
      <w:r>
        <w:rPr>
          <w:rFonts w:ascii="바탕체" w:hAnsi="바탕체" w:eastAsia="바탕체"/>
          <w:b/>
          <w:color w:val="000000"/>
          <w:sz w:val="28"/>
        </w:rPr>
        <w:t>위 험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출하 지연 시 고객사 위약금 발생</w:t>
      </w:r>
    </w:p>
    <w:p>
      <w:pPr>
        <w:keepNext/>
        <w:spacing w:before="0" w:after="0" w:line="343" w:lineRule="auto"/>
        <w:ind w:left="700" w:hanging="70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지연 1주당 계약금액의 0.5%, 대상 계약 약 115억원 기준 4주 지연</w:t>
      </w:r>
    </w:p>
    <w:p>
      <w:pPr>
        <w:spacing w:before="0" w:after="360" w:line="343" w:lineRule="auto"/>
        <w:ind w:left="700" w:hanging="70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 </w:t>
      </w:r>
      <w:r>
        <w:rPr>
          <w:rFonts w:ascii="바탕체" w:hAnsi="바탕체" w:eastAsia="바탕체"/>
          <w:color w:val="000000"/>
          <w:sz w:val="28"/>
        </w:rPr>
        <w:t>시 약 2.3억원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단일 공급사 의존으로 가격·납기 협상력 부족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대체 공급사 검증에 통상 6개월 이상 소요되어 즉각 대응 한계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3. </w:t>
      </w:r>
      <w:r>
        <w:rPr>
          <w:rFonts w:ascii="바탕체" w:hAnsi="바탕체" w:eastAsia="바탕체"/>
          <w:b/>
          <w:color w:val="000000"/>
          <w:sz w:val="28"/>
        </w:rPr>
        <w:t>대체 공급 후보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① </w:t>
      </w:r>
      <w:r>
        <w:rPr>
          <w:rFonts w:ascii="바탕체" w:hAnsi="바탕체" w:eastAsia="바탕체"/>
          <w:b/>
          <w:color w:val="000000"/>
          <w:sz w:val="28"/>
        </w:rPr>
        <w:t>B사 : 개당 1,720만원, 월 최대 120개, 검증 약 4개월</w:t>
      </w:r>
    </w:p>
    <w:p>
      <w:pPr>
        <w:keepNext/>
        <w:spacing w:before="0" w:after="0" w:line="343" w:lineRule="auto"/>
        <w:ind w:left="700" w:hanging="70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샘플 시험 사양 대비 98%, 단기 보완 수단으로 적합하나 양산 품질</w:t>
      </w:r>
    </w:p>
    <w:p>
      <w:pPr>
        <w:spacing w:before="0" w:after="360" w:line="343" w:lineRule="auto"/>
        <w:ind w:left="700" w:hanging="70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 </w:t>
      </w:r>
      <w:r>
        <w:rPr>
          <w:rFonts w:ascii="바탕체" w:hAnsi="바탕체" w:eastAsia="바탕체"/>
          <w:color w:val="000000"/>
          <w:sz w:val="28"/>
        </w:rPr>
        <w:t>이력 추가 확인 필요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② </w:t>
      </w:r>
      <w:r>
        <w:rPr>
          <w:rFonts w:ascii="바탕체" w:hAnsi="바탕체" w:eastAsia="바탕체"/>
          <w:b/>
          <w:color w:val="000000"/>
          <w:sz w:val="28"/>
        </w:rPr>
        <w:t>C사 : 개당 1,580만원, 월 최대 200개, 검증 약 6개월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단가·물량이 가장 유리하나 사양 승인 일정 미확정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③ </w:t>
      </w:r>
      <w:r>
        <w:rPr>
          <w:rFonts w:ascii="바탕체" w:hAnsi="바탕체" w:eastAsia="바탕체"/>
          <w:b/>
          <w:color w:val="000000"/>
          <w:sz w:val="28"/>
        </w:rPr>
        <w:t>A사 2차 라인 : 개당 1,850만원, 월 80개 추가, 검증 불필요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단일 공급 구조 미해소, 11월 가동 목표이나 A사 확정 통보 없음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4. </w:t>
      </w:r>
      <w:r>
        <w:rPr>
          <w:rFonts w:ascii="바탕체" w:hAnsi="바탕체" w:eastAsia="바탕체"/>
          <w:b/>
          <w:color w:val="000000"/>
          <w:sz w:val="28"/>
        </w:rPr>
        <w:t>대응 계획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긴급 발주 : 200개, 10월 2주 내 (재무 승인 필요)</w:t>
      </w:r>
    </w:p>
    <w:p>
      <w:pPr>
        <w:keepNext/>
        <w:spacing w:before="0" w:after="0" w:line="343" w:lineRule="auto"/>
        <w:ind w:left="700" w:hanging="70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긴급 생산 할증 5% 적용 시 개당 약 1,940만원,</w:t>
      </w:r>
    </w:p>
    <w:p>
      <w:pPr>
        <w:spacing w:before="0" w:after="120" w:line="343" w:lineRule="auto"/>
        <w:ind w:left="700" w:hanging="70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  </w:t>
      </w:r>
      <w:r>
        <w:rPr>
          <w:rFonts w:ascii="바탕체" w:hAnsi="바탕체" w:eastAsia="바탕체"/>
          <w:color w:val="000000"/>
          <w:sz w:val="28"/>
        </w:rPr>
        <w:t>총 38.8억원 (정상 단가 대비 약 1.8억원 증가)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위약금 예상액(약 2.3억원)이 추가 비용보다 커 선제 발주가 유리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A사 우선 공급 : 월 400개 확보 요청, 10월 말까지 회신 요청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대체 공급 : B사 병행 검증 9월 말 착수, 내년 1월 완료 목표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C사는 사양 승인 일정 확정 후 별도 보고</w:t>
      </w:r>
    </w:p>
    <w:p>
      <w:pPr>
        <w:spacing w:before="0" w:after="120" w:line="343" w:lineRule="auto"/>
        <w:ind w:left="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>중기 목표 : 내년 말까지 A사 60%, B사 및 C사 합계 40%</w:t>
      </w:r>
    </w:p>
    <w:p>
      <w:pPr>
        <w:spacing w:before="0" w:after="360" w:line="343" w:lineRule="auto"/>
        <w:ind w:left="0"/>
        <w:jc w:val="left"/>
      </w:pPr>
      <w:r>
        <w:rPr>
          <w:rFonts w:ascii="바탕체" w:hAnsi="바탕체" w:eastAsia="바탕체"/>
          <w:color w:val="000000"/>
          <w:sz w:val="28"/>
        </w:rPr>
        <w:t xml:space="preserve">   - </w:t>
      </w:r>
      <w:r>
        <w:rPr>
          <w:rFonts w:ascii="바탕체" w:hAnsi="바탕체" w:eastAsia="바탕체"/>
          <w:color w:val="000000"/>
          <w:sz w:val="28"/>
        </w:rPr>
        <w:t>연간 약 36.6억원 비용 절감 효과 추정 (월 144개 기준)</w:t>
      </w:r>
    </w:p>
    <w:p>
      <w:pPr>
        <w:spacing w:before="0" w:after="120" w:line="343" w:lineRule="auto"/>
        <w:ind w:left="560" w:hanging="560"/>
        <w:jc w:val="left"/>
      </w:pPr>
      <w:r>
        <w:rPr>
          <w:rFonts w:ascii="바탕체" w:hAnsi="바탕체" w:eastAsia="바탕체"/>
          <w:b/>
          <w:color w:val="000000"/>
          <w:sz w:val="28"/>
        </w:rPr>
        <w:t xml:space="preserve"> □ </w:t>
      </w:r>
      <w:r>
        <w:rPr>
          <w:rFonts w:ascii="바탕체" w:hAnsi="바탕체" w:eastAsia="바탕체"/>
          <w:b/>
          <w:color w:val="000000"/>
          <w:sz w:val="28"/>
        </w:rPr>
        <w:t xml:space="preserve">재고 관리 : </w:t>
      </w:r>
      <w:r>
        <w:rPr>
          <w:rFonts w:ascii="바탕체" w:hAnsi="바탕체" w:eastAsia="바탕체"/>
          <w:b/>
          <w:color w:val="000000"/>
          <w:spacing w:val="-2"/>
          <w:sz w:val="28"/>
        </w:rPr>
        <w:t>주 단위 점검, 11월 중 2주분 미만 시 경영진 긴급 보고</w:t>
      </w:r>
    </w:p>
    <w:p>
      <w:pPr>
        <w:spacing w:before="360" w:after="0" w:line="343" w:lineRule="auto"/>
        <w:jc w:val="right"/>
      </w:pPr>
      <w:r>
        <w:rPr>
          <w:rFonts w:ascii="바탕체" w:hAnsi="바탕체" w:eastAsia="바탕체"/>
          <w:color w:val="000000"/>
          <w:sz w:val="28"/>
        </w:rPr>
        <w:t>- 이 상 -</w:t>
      </w:r>
    </w:p>
    <w:sectPr w:rsidR="00FC693F" w:rsidRPr="0006063C" w:rsidSect="00034616">
      <w:pgSz w:w="11906" w:h="16838"/>
      <w:pgMar w:top="1417" w:right="1134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balanceSingleByteDoubleByteWidth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