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바탕체" w:hAnsi="바탕체" w:eastAsia="바탕체"/>
          <w:b/>
          <w:color w:val="000000"/>
          <w:sz w:val="40"/>
          <w:u w:val="single"/>
        </w:rPr>
        <w:t>AI 코딩 도구 도입 추진 현황 및 확산 방향</w:t>
      </w:r>
    </w:p>
    <w:p>
      <w:pPr>
        <w:spacing w:before="0" w:after="180" w:line="312" w:lineRule="auto"/>
        <w:jc w:val="right"/>
      </w:pPr>
      <w:r>
        <w:rPr>
          <w:rFonts w:ascii="바탕체" w:hAnsi="바탕체" w:eastAsia="바탕체"/>
          <w:color w:val="000000"/>
          <w:sz w:val="28"/>
        </w:rPr>
        <w:t>2026. 10. 7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1. </w:t>
      </w:r>
      <w:r>
        <w:rPr>
          <w:rFonts w:ascii="바탕체" w:hAnsi="바탕체" w:eastAsia="바탕체"/>
          <w:b/>
          <w:color w:val="000000"/>
          <w:sz w:val="28"/>
        </w:rPr>
        <w:t>추진 경과</w:t>
      </w:r>
    </w:p>
    <w:p>
      <w:pPr>
        <w:spacing w:before="0" w:after="12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 xml:space="preserve">파일럿 : </w:t>
      </w:r>
      <w:r>
        <w:rPr>
          <w:rFonts w:ascii="바탕체" w:hAnsi="바탕체" w:eastAsia="바탕체"/>
          <w:b/>
          <w:color w:val="000000"/>
          <w:spacing w:val="-14"/>
          <w:sz w:val="28"/>
        </w:rPr>
        <w:t>2026. 7. 1 ~ 8. 29 (8주), 3개 팀 80명 (개발 인력 420명의 19%)</w:t>
      </w:r>
    </w:p>
    <w:p>
      <w:pPr>
        <w:keepNext/>
        <w:spacing w:before="0" w:after="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작업 완료 시간 평균 18% 단축 (신규 기능 24%, 버그 수정 12%,</w:t>
      </w:r>
    </w:p>
    <w:p>
      <w:pPr>
        <w:spacing w:before="0" w:after="12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  </w:t>
      </w:r>
      <w:r>
        <w:rPr>
          <w:rFonts w:ascii="바탕체" w:hAnsi="바탕체" w:eastAsia="바탕체"/>
          <w:color w:val="000000"/>
          <w:sz w:val="28"/>
        </w:rPr>
        <w:t>테스트 코드 작성 31%)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코드 리뷰 지적 건수 월 평균 9.2건 → 7.4건 (20% 감소)</w:t>
      </w:r>
    </w:p>
    <w:p>
      <w:pPr>
        <w:spacing w:before="0" w:after="36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pacing w:val="-6"/>
          <w:sz w:val="28"/>
        </w:rPr>
        <w:t>만족도 5점 만점 4.1점, 지속 사용 의향 88%, 주 3회 이상 사용자 78%</w:t>
      </w:r>
    </w:p>
    <w:p>
      <w:pPr>
        <w:keepNext/>
        <w:spacing w:before="0" w:after="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보안심사 : 10월 초 완료, 핵심 알고리즘 및 고객 데이터 저장소는</w:t>
      </w:r>
    </w:p>
    <w:p>
      <w:pPr>
        <w:spacing w:before="0" w:after="12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   </w:t>
      </w:r>
      <w:r>
        <w:rPr>
          <w:rFonts w:ascii="바탕체" w:hAnsi="바탕체" w:eastAsia="바탕체"/>
          <w:b/>
          <w:color w:val="000000"/>
          <w:sz w:val="28"/>
        </w:rPr>
        <w:t>전송 제외 조건으로 승인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9월 말 예정 대비 약 1주 지연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2. </w:t>
      </w:r>
      <w:r>
        <w:rPr>
          <w:rFonts w:ascii="바탕체" w:hAnsi="바탕체" w:eastAsia="바탕체"/>
          <w:b/>
          <w:color w:val="000000"/>
          <w:sz w:val="28"/>
        </w:rPr>
        <w:t>한 계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효과 편차 : 상위 팀 25% 단축 대비 하위 팀 9%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레거시 언어(C/C++ 기반 내부 프레임워크) 영역은 4%에 그침</w:t>
      </w:r>
    </w:p>
    <w:p>
      <w:pPr>
        <w:keepNext/>
        <w:spacing w:before="0" w:after="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보안 : 사내 소스 외부 전송 우려 설문 응답자의 41%,</w:t>
      </w:r>
    </w:p>
    <w:p>
      <w:pPr>
        <w:spacing w:before="0" w:after="12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   </w:t>
      </w:r>
      <w:r>
        <w:rPr>
          <w:rFonts w:ascii="바탕체" w:hAnsi="바탕체" w:eastAsia="바탕체"/>
          <w:b/>
          <w:color w:val="000000"/>
          <w:sz w:val="28"/>
        </w:rPr>
        <w:t>파일럿 중 보안 관련 지적 3건 증가</w:t>
      </w:r>
    </w:p>
    <w:p>
      <w:pPr>
        <w:spacing w:before="0" w:after="36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전용 보안 점검 도구 병행으로 대응 가능한지 추가 확인 필요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3. </w:t>
      </w:r>
      <w:r>
        <w:rPr>
          <w:rFonts w:ascii="바탕체" w:hAnsi="바탕체" w:eastAsia="바탕체"/>
          <w:b/>
          <w:color w:val="000000"/>
          <w:sz w:val="28"/>
        </w:rPr>
        <w:t>도입 방식 비교</w:t>
      </w:r>
    </w:p>
    <w:tbl>
      <w:tblPr>
        <w:tblW w:type="dxa" w:w="9638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3" w:type="dxa"/>
          <w:left w:w="79" w:type="dxa"/>
          <w:bottom w:w="23" w:type="dxa"/>
          <w:right w:w="79" w:type="dxa"/>
        </w:tblCellMar>
        <w:tblLook w:firstColumn="1" w:firstRow="1" w:lastColumn="0" w:lastRow="0" w:noHBand="0" w:noVBand="1" w:val="04A0"/>
      </w:tblPr>
      <w:tblGrid>
        <w:gridCol w:w="1283"/>
        <w:gridCol w:w="4178"/>
        <w:gridCol w:w="4178"/>
      </w:tblGrid>
      <w:tr>
        <w:trPr>
          <w:cantSplit/>
          <w:trHeight w:hRule="atLeast" w:val="567"/>
          <w:tblHeader/>
        </w:trPr>
        <w:tc>
          <w:tcPr>
            <w:tcW w:type="dxa" w:w="1283"/>
            <w:tcBorders>
              <w:bottom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구분</w:t>
            </w:r>
          </w:p>
        </w:tc>
        <w:tc>
          <w:tcPr>
            <w:tcW w:type="dxa" w:w="4178"/>
            <w:tcBorders>
              <w:bottom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(1안) 외부 클라우드 서비스 이용</w:t>
            </w:r>
          </w:p>
        </w:tc>
        <w:tc>
          <w:tcPr>
            <w:tcW w:type="dxa" w:w="4178"/>
            <w:tcBorders>
              <w:bottom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(2안) 사내 전용 환경 구축</w:t>
            </w:r>
          </w:p>
        </w:tc>
      </w:tr>
      <w:tr>
        <w:trPr>
          <w:cantSplit/>
          <w:trHeight w:hRule="atLeast" w:val="567"/>
        </w:trPr>
        <w:tc>
          <w:tcPr>
            <w:tcW w:type="dxa" w:w="1283"/>
            <w:tcBorders>
              <w:top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보안</w:t>
            </w:r>
          </w:p>
        </w:tc>
        <w:tc>
          <w:tcPr>
            <w:tcW w:type="dxa" w:w="4178"/>
            <w:tcBorders>
              <w:top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소스 일부가 외부 서버로 전송</w:t>
            </w:r>
          </w:p>
        </w:tc>
        <w:tc>
          <w:tcPr>
            <w:tcW w:type="dxa" w:w="4178"/>
            <w:tcBorders>
              <w:top w:val="single" w:sz="12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사내망 내 처리, 외부 전송 없음</w:t>
            </w:r>
          </w:p>
        </w:tc>
      </w:tr>
      <w:tr>
        <w:trPr>
          <w:cantSplit/>
          <w:trHeight w:hRule="atLeast" w:val="567"/>
        </w:trPr>
        <w:tc>
          <w:tcPr>
            <w:tcW w:type="dxa" w:w="12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비용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1석당 월 25만원 / 150석 기준 연 4.5억원 / (3년 누적 13.5억원)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초기 구축비 12억원 / 운영비 연 3억원 / (3년 누적 21억원)</w:t>
            </w:r>
          </w:p>
        </w:tc>
      </w:tr>
      <w:tr>
        <w:trPr>
          <w:cantSplit/>
          <w:trHeight w:hRule="atLeast" w:val="567"/>
        </w:trPr>
        <w:tc>
          <w:tcPr>
            <w:tcW w:type="dxa" w:w="12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구축 기간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즉시 사용 가능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약 6개월</w:t>
            </w:r>
          </w:p>
        </w:tc>
      </w:tr>
      <w:tr>
        <w:trPr>
          <w:cantSplit/>
          <w:trHeight w:hRule="atLeast" w:val="567"/>
        </w:trPr>
        <w:tc>
          <w:tcPr>
            <w:tcW w:type="dxa" w:w="128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b/>
                <w:color w:val="000000"/>
                <w:sz w:val="24"/>
              </w:rPr>
              <w:t>기술 수준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최신 모델 즉시 반영</w:t>
            </w:r>
          </w:p>
        </w:tc>
        <w:tc>
          <w:tcPr>
            <w:tcW w:type="dxa" w:w="417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바탕체" w:hAnsi="바탕체" w:eastAsia="바탕체"/>
                <w:color w:val="000000"/>
                <w:sz w:val="24"/>
              </w:rPr>
              <w:t>모델 업데이트 주기에 따라 지연 가능</w:t>
            </w:r>
          </w:p>
        </w:tc>
      </w:tr>
    </w:tbl>
    <w:p>
      <w:pPr>
        <w:spacing w:before="120" w:after="120" w:line="343" w:lineRule="auto"/>
        <w:ind w:left="480" w:hanging="480"/>
        <w:jc w:val="left"/>
      </w:pPr>
      <w:r>
        <w:rPr>
          <w:rFonts w:ascii="바탕체" w:hAnsi="바탕체" w:eastAsia="바탕체"/>
          <w:color w:val="000000"/>
          <w:sz w:val="24"/>
        </w:rPr>
        <w:t xml:space="preserve">    </w:t>
      </w:r>
      <w:r>
        <w:rPr>
          <w:rFonts w:ascii="바탕체" w:hAnsi="바탕체" w:eastAsia="바탕체"/>
          <w:color w:val="000000"/>
          <w:spacing w:val="-12"/>
          <w:sz w:val="24"/>
        </w:rPr>
        <w:t>※ 3년 누적 기준 약 233석을 넘으면 2안이 유리 (2안 운영비가 석수와 무관하다는 가정)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4. </w:t>
      </w:r>
      <w:r>
        <w:rPr>
          <w:rFonts w:ascii="바탕체" w:hAnsi="바탕체" w:eastAsia="바탕체"/>
          <w:b/>
          <w:color w:val="000000"/>
          <w:sz w:val="28"/>
        </w:rPr>
        <w:t>확산 계획 및 의사결정 요청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단계별 확산 (1안 기준)</w:t>
      </w:r>
    </w:p>
    <w:p>
      <w:pPr>
        <w:keepNext/>
        <w:spacing w:before="0" w:after="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1단계 (2026년 4분기) : 150석, 개발 인력의 약 36%,</w:t>
      </w:r>
    </w:p>
    <w:p>
      <w:pPr>
        <w:spacing w:before="0" w:after="12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  </w:t>
      </w:r>
      <w:r>
        <w:rPr>
          <w:rFonts w:ascii="바탕체" w:hAnsi="바탕체" w:eastAsia="바탕체"/>
          <w:color w:val="000000"/>
          <w:sz w:val="28"/>
        </w:rPr>
        <w:t>연 4.5억원 (4분기 반영분 1.1억원)</w:t>
      </w:r>
    </w:p>
    <w:p>
      <w:pPr>
        <w:spacing w:before="0" w:after="12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pacing w:val="-18"/>
          <w:sz w:val="28"/>
        </w:rPr>
        <w:t>2단계 (2027년 상반기) : 300석, 연 9.0억원, 레거시 지원 범위 확인 후 결정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 </w:t>
      </w:r>
      <w:r>
        <w:rPr>
          <w:rFonts w:ascii="바탕체" w:hAnsi="바탕체" w:eastAsia="바탕체"/>
          <w:color w:val="000000"/>
          <w:sz w:val="28"/>
        </w:rPr>
        <w:t>※ 233석을 넘으므로 2안과 비용 재비교</w:t>
      </w:r>
    </w:p>
    <w:p>
      <w:pPr>
        <w:keepNext/>
        <w:spacing w:before="0" w:after="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3단계 (2027년 하반기 이후) : 420석 전체 확대,</w:t>
      </w:r>
    </w:p>
    <w:p>
      <w:pPr>
        <w:spacing w:before="0" w:after="36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  </w:t>
      </w:r>
      <w:r>
        <w:rPr>
          <w:rFonts w:ascii="바탕체" w:hAnsi="바탕체" w:eastAsia="바탕체"/>
          <w:color w:val="000000"/>
          <w:sz w:val="28"/>
        </w:rPr>
        <w:t>방식은 재비교 결과에 따라 결정</w:t>
      </w:r>
    </w:p>
    <w:p>
      <w:pPr>
        <w:spacing w:before="0" w:after="120" w:line="343" w:lineRule="auto"/>
        <w:ind w:left="560" w:hanging="56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 xml:space="preserve">기대 효과 : </w:t>
      </w:r>
      <w:r>
        <w:rPr>
          <w:rFonts w:ascii="바탕체" w:hAnsi="바탕체" w:eastAsia="바탕체"/>
          <w:b/>
          <w:color w:val="000000"/>
          <w:spacing w:val="-6"/>
          <w:sz w:val="28"/>
        </w:rPr>
        <w:t>420명 전체에 18% 단축 가정 시 연간 약 76명분 시간 확보</w:t>
      </w:r>
    </w:p>
    <w:p>
      <w:pPr>
        <w:spacing w:before="0" w:after="120" w:line="343" w:lineRule="auto"/>
        <w:ind w:left="0"/>
        <w:jc w:val="left"/>
      </w:pPr>
      <w:r>
        <w:rPr>
          <w:rFonts w:ascii="바탕체" w:hAnsi="바탕체" w:eastAsia="바탕체"/>
          <w:b/>
          <w:color w:val="000000"/>
          <w:sz w:val="28"/>
        </w:rPr>
        <w:t xml:space="preserve"> □ </w:t>
      </w:r>
      <w:r>
        <w:rPr>
          <w:rFonts w:ascii="바탕체" w:hAnsi="바탕체" w:eastAsia="바탕체"/>
          <w:b/>
          <w:color w:val="000000"/>
          <w:sz w:val="28"/>
        </w:rPr>
        <w:t>승인 요청 : 1단계 150석 도입 및 4분기 예산 1.1억원 집행</w:t>
      </w:r>
    </w:p>
    <w:p>
      <w:pPr>
        <w:keepNext/>
        <w:spacing w:before="0" w:after="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- </w:t>
      </w:r>
      <w:r>
        <w:rPr>
          <w:rFonts w:ascii="바탕체" w:hAnsi="바탕체" w:eastAsia="바탕체"/>
          <w:color w:val="000000"/>
          <w:sz w:val="28"/>
        </w:rPr>
        <w:t>2단계는 2027년 2월 중 성과 점검 후 재상정 (점검 기준 : 단축률</w:t>
      </w:r>
    </w:p>
    <w:p>
      <w:pPr>
        <w:spacing w:before="0" w:after="120" w:line="343" w:lineRule="auto"/>
        <w:ind w:left="700" w:hanging="700"/>
        <w:jc w:val="left"/>
      </w:pPr>
      <w:r>
        <w:rPr>
          <w:rFonts w:ascii="바탕체" w:hAnsi="바탕체" w:eastAsia="바탕체"/>
          <w:color w:val="000000"/>
          <w:sz w:val="28"/>
        </w:rPr>
        <w:t xml:space="preserve">     </w:t>
      </w:r>
      <w:r>
        <w:rPr>
          <w:rFonts w:ascii="바탕체" w:hAnsi="바탕체" w:eastAsia="바탕체"/>
          <w:color w:val="000000"/>
          <w:sz w:val="28"/>
        </w:rPr>
        <w:t>15% 이상 유지, 보안 점검 이탈 0건)</w:t>
      </w:r>
    </w:p>
    <w:p>
      <w:pPr>
        <w:spacing w:before="360" w:after="0" w:line="343" w:lineRule="auto"/>
        <w:jc w:val="right"/>
      </w:pPr>
      <w:r>
        <w:rPr>
          <w:rFonts w:ascii="바탕체" w:hAnsi="바탕체" w:eastAsia="바탕체"/>
          <w:color w:val="000000"/>
          <w:sz w:val="28"/>
        </w:rPr>
        <w:t>- 이 상 -</w:t>
      </w:r>
    </w:p>
    <w:sectPr w:rsidR="00FC693F" w:rsidRPr="0006063C" w:rsidSect="00034616">
      <w:pgSz w:w="11906" w:h="16838"/>
      <w:pgMar w:top="1417" w:right="1134" w:bottom="1417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balanceSingleByteDoubleByteWidth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