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바탕체" w:hAnsi="바탕체" w:eastAsia="바탕체"/>
          <w:b/>
          <w:color w:val="000000"/>
          <w:sz w:val="40"/>
          <w:u w:val="single"/>
        </w:rPr>
        <w:t>RF 매칭 모듈 공급 리스크 및 대응 방향</w:t>
      </w:r>
    </w:p>
    <w:p>
      <w:pPr>
        <w:spacing w:before="0" w:after="180" w:line="312" w:lineRule="auto"/>
        <w:jc w:val="right"/>
      </w:pPr>
      <w:r>
        <w:rPr>
          <w:rFonts w:ascii="바탕체" w:hAnsi="바탕체" w:eastAsia="바탕체"/>
          <w:color w:val="000000"/>
          <w:sz w:val="28"/>
        </w:rPr>
        <w:t>2026. 10. 7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1. </w:t>
      </w:r>
      <w:r>
        <w:rPr>
          <w:rFonts w:ascii="바탕체" w:hAnsi="바탕체" w:eastAsia="바탕체"/>
          <w:b/>
          <w:color w:val="000000"/>
          <w:sz w:val="28"/>
        </w:rPr>
        <w:t>현 황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재고 : 180개 (10월 1일 기준 안전재고 4주분 대비 2.1주분), 11월 2주차 소진 예상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월 소요 약 360개(상반기 출하 증가로 전년 대비 35% 증가) 대비 월 입고 약 230개로 감소(리드타임 연장 영향)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공급 : A사 의존도 92%, 리드타임 28주 (전년 동기 18주)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9월 초 26주에서 추가 연장, 8월 전력 제한 영향 후속 생산 반영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A사 가동률 78%(8월) → 88%(9월 말), 평시 94% 미회복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납기 준수율 : 1분기 91% → 2분기 84% → 3분기(8월까지) 73%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단가 : 개당 1,850만원 (전년 대비 7% 인상)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2. </w:t>
      </w:r>
      <w:r>
        <w:rPr>
          <w:rFonts w:ascii="바탕체" w:hAnsi="바탕체" w:eastAsia="바탕체"/>
          <w:b/>
          <w:color w:val="000000"/>
          <w:sz w:val="28"/>
        </w:rPr>
        <w:t>위 험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출하 지연 시 고객사 위약금 발생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지연 1주당 계약금액의 0.5%, 대상 계약 약 115억원 기준 4주 지연 시 약 2.3억원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단일 공급사 의존으로 가격·납기 협상력 부족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대체 공급사 검증에 통상 6개월 이상 소요되어 즉각 대응 한계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3. </w:t>
      </w:r>
      <w:r>
        <w:rPr>
          <w:rFonts w:ascii="바탕체" w:hAnsi="바탕체" w:eastAsia="바탕체"/>
          <w:b/>
          <w:color w:val="000000"/>
          <w:sz w:val="28"/>
        </w:rPr>
        <w:t>대체 공급 후보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① B사 : 개당 1,720만원, 월 최대 120개, 검증 약 4개월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샘플 시험 사양 대비 98%, 단기 보완 수단으로 적합하나 양산 품질 이력 추가 확인 필요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② C사 : 개당 1,580만원, 월 최대 200개, 검증 약 6개월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단가·물량이 가장 유리하나 사양 승인 일정 미확정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③ A사 2차 라인 : 개당 1,850만원, 월 80개 추가, 검증 불필요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단일 공급 구조 미해소, 11월 가동 목표이나 A사 확정 통보 없음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4. </w:t>
      </w:r>
      <w:r>
        <w:rPr>
          <w:rFonts w:ascii="바탕체" w:hAnsi="바탕체" w:eastAsia="바탕체"/>
          <w:b/>
          <w:color w:val="000000"/>
          <w:sz w:val="28"/>
        </w:rPr>
        <w:t>대응 계획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긴급 발주 : 200개, 10월 2주 내 (재무 승인 필요)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긴급 생산 할증 5% 적용 시 개당 약 1,940만원, 총 38.8억원 (정상 단가 대비 약 1.8억원 증가)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위약금 예상액(약 2.3억원)이 추가 비용보다 커 선제 발주가 유리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A사 우선 공급 : 월 400개 확보 요청, 10월 말까지 회신 요청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대체 공급 : B사 병행 검증 9월 말 착수, 내년 1월 완료 목표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C사는 사양 승인 일정 확정 후 별도 보고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중기 목표 : 내년 말까지 A사 60%, B사 및 C사 합계 40%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연간 약 36.6억원 비용 절감 효과 추정 (월 144개 기준)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재고 관리 : 주 단위 점검, 11월 중 2주분 미만 시 경영진 긴급 보고</w:t>
      </w:r>
    </w:p>
    <w:p>
      <w:pPr>
        <w:spacing w:before="360" w:after="0" w:line="343" w:lineRule="auto"/>
        <w:jc w:val="right"/>
      </w:pPr>
      <w:r>
        <w:rPr>
          <w:rFonts w:ascii="바탕체" w:hAnsi="바탕체" w:eastAsia="바탕체"/>
          <w:color w:val="000000"/>
          <w:sz w:val="28"/>
        </w:rPr>
        <w:t>- 이 상 -</w:t>
      </w:r>
    </w:p>
    <w:sectPr w:rsidR="00FC693F" w:rsidRPr="0006063C" w:rsidSect="00034616">
      <w:pgSz w:w="11906" w:h="16838"/>
      <w:pgMar w:top="1417" w:right="1134" w:bottom="1417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balanceSingleByteDoubleByteWidth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