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바탕체" w:hAnsi="바탕체" w:eastAsia="바탕체"/>
          <w:b/>
          <w:color w:val="000000"/>
          <w:sz w:val="40"/>
          <w:u w:val="single"/>
        </w:rPr>
        <w:t>식각장비용 RF 매칭 부품 수급 현황</w:t>
      </w:r>
    </w:p>
    <w:p>
      <w:pPr>
        <w:spacing w:before="0" w:after="180" w:line="312" w:lineRule="auto"/>
        <w:jc w:val="right"/>
      </w:pPr>
      <w:r>
        <w:rPr>
          <w:rFonts w:ascii="바탕체" w:hAnsi="바탕체" w:eastAsia="바탕체"/>
          <w:color w:val="000000"/>
          <w:sz w:val="28"/>
        </w:rPr>
        <w:t>2026. 9. 12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1. </w:t>
      </w:r>
      <w:r>
        <w:rPr>
          <w:rFonts w:ascii="바탕체" w:hAnsi="바탕체" w:eastAsia="바탕체"/>
          <w:b/>
          <w:color w:val="000000"/>
          <w:sz w:val="28"/>
        </w:rPr>
        <w:t>배 경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식각장비 핵심 부품인 RF 매칭 모듈은 단일 공급사(A사) 의존도가 높아 수급 불안 지속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최근 12개월 A사 납품 비중 : 92% (2025년 9월 기준 95%)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2026년 상반기 장비 출하량 증가로 모듈 소요량이 전년 대비 35% 증가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A사 소재 공장 인근 지역의 전력 공급 제한(8월)으로 가동률 일시 하락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가동률 : 평시 94% → 8월 78% → 9월 현재 86%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2. </w:t>
      </w:r>
      <w:r>
        <w:rPr>
          <w:rFonts w:ascii="바탕체" w:hAnsi="바탕체" w:eastAsia="바탕체"/>
          <w:b/>
          <w:color w:val="000000"/>
          <w:sz w:val="28"/>
        </w:rPr>
        <w:t>현 황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리드타임 : 26주 (전년 동기 18주)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8주 증가분 중 5주는 A사 내부 검사 대기, 3주는 원자재(세라믹) 수급 지연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재고 현황 : 안전재고 4주분 대비 현재 2.5주분 (약 210개)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월평균 소요량 : 약 360개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입고가 소요를 밑도는 상태 지속 시 11월 3주차 재고 소진 예상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납기 준수율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1분기 91% → 2분기 84% → 3분기(8월까지) 73%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3분기 지연 건 중 60%는 고객사 긴급 주문 대응 물량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단가 : 개당 1,850만원 (전년 대비 7% 인상)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A사 원자재 가격 전가 및 긴급 생산 할증(5%) 포함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3. </w:t>
      </w:r>
      <w:r>
        <w:rPr>
          <w:rFonts w:ascii="바탕체" w:hAnsi="바탕체" w:eastAsia="바탕체"/>
          <w:b/>
          <w:color w:val="000000"/>
          <w:sz w:val="28"/>
        </w:rPr>
        <w:t>문제점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단일 공급사 의존으로 협상력 부족, 가격 인상 및 납기 지연을 수용 중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안전재고 미달 상태에서 긴급 주문 증가 시 출하 지연 위험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출하 지연 시 고객사 위약금 조항(지연 1주당 계약금액의 0.5%) 적용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대체 공급사 검증에 통상 6개월 이상 소요되어 즉각 대응 어려움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4. </w:t>
      </w:r>
      <w:r>
        <w:rPr>
          <w:rFonts w:ascii="바탕체" w:hAnsi="바탕체" w:eastAsia="바탕체"/>
          <w:b/>
          <w:color w:val="000000"/>
          <w:sz w:val="28"/>
        </w:rPr>
        <w:t>향후 계획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대체 공급사 후보 발굴 및 성능 검증 착수 (9월 중)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A사와 우선 공급 물량 협의 (월 400개 확보 요청)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재고 보충을 위한 긴급 발주 검토 (재무 협의 필요)</w:t>
      </w:r>
    </w:p>
    <w:p>
      <w:pPr>
        <w:spacing w:before="0" w:after="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대체 공급사 투입 시점은 검증 결과에 따라 확정 예정</w:t>
      </w:r>
    </w:p>
    <w:p>
      <w:pPr>
        <w:spacing w:before="360" w:after="0" w:line="343" w:lineRule="auto"/>
        <w:jc w:val="right"/>
      </w:pPr>
      <w:r>
        <w:rPr>
          <w:rFonts w:ascii="바탕체" w:hAnsi="바탕체" w:eastAsia="바탕체"/>
          <w:color w:val="000000"/>
          <w:sz w:val="28"/>
        </w:rPr>
        <w:t>- 이 상 -</w:t>
      </w:r>
    </w:p>
    <w:sectPr w:rsidR="00FC693F" w:rsidRPr="0006063C" w:rsidSect="00034616">
      <w:pgSz w:w="11906" w:h="16838"/>
      <w:pgMar w:top="1417" w:right="1134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balanceSingleByteDoubleByteWidth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