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바탕체" w:hAnsi="바탕체" w:eastAsia="바탕체"/>
          <w:b/>
          <w:color w:val="000000"/>
          <w:sz w:val="40"/>
          <w:u w:val="single"/>
        </w:rPr>
        <w:t>RF 매칭 모듈 대체 공급사 검토 결과</w:t>
      </w:r>
    </w:p>
    <w:p>
      <w:pPr>
        <w:spacing w:before="0" w:after="180" w:line="312" w:lineRule="auto"/>
        <w:jc w:val="right"/>
      </w:pPr>
      <w:r>
        <w:rPr>
          <w:rFonts w:ascii="바탕체" w:hAnsi="바탕체" w:eastAsia="바탕체"/>
          <w:color w:val="000000"/>
          <w:sz w:val="28"/>
        </w:rPr>
        <w:t>2026. 9. 26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1. </w:t>
      </w:r>
      <w:r>
        <w:rPr>
          <w:rFonts w:ascii="바탕체" w:hAnsi="바탕체" w:eastAsia="바탕체"/>
          <w:b/>
          <w:color w:val="000000"/>
          <w:sz w:val="28"/>
        </w:rPr>
        <w:t>검토 배경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A사 의존도(92%) 및 납기 지연(3분기 납기 준수율 73%) 해소를 위해 대체 공급 방안 검토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후보 3개사 대상 사양 적합성, 가격, 공급 가능 물량 비교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검토 기준 : 성능 동등성, 검증 소요 기간, 단가, 월 공급 가능 물량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2. </w:t>
      </w:r>
      <w:r>
        <w:rPr>
          <w:rFonts w:ascii="바탕체" w:hAnsi="바탕체" w:eastAsia="바탕체"/>
          <w:b/>
          <w:color w:val="000000"/>
          <w:sz w:val="28"/>
        </w:rPr>
        <w:t>후보사 비교</w:t>
      </w:r>
    </w:p>
    <w:tbl>
      <w:tblPr>
        <w:tblW w:type="dxa" w:w="9638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3" w:type="dxa"/>
          <w:left w:w="79" w:type="dxa"/>
          <w:bottom w:w="23" w:type="dxa"/>
          <w:right w:w="79" w:type="dxa"/>
        </w:tblCellMar>
        <w:tblLook w:firstColumn="1" w:firstRow="1" w:lastColumn="0" w:lastRow="0" w:noHBand="0" w:noVBand="1" w:val="04A0"/>
      </w:tblPr>
      <w:tblGrid>
        <w:gridCol w:w="1548"/>
        <w:gridCol w:w="2863"/>
        <w:gridCol w:w="2863"/>
        <w:gridCol w:w="2364"/>
      </w:tblGrid>
      <w:tr>
        <w:trPr>
          <w:cantSplit/>
          <w:trHeight w:hRule="atLeast" w:val="567"/>
          <w:tblHeader/>
        </w:trPr>
        <w:tc>
          <w:tcPr>
            <w:tcW w:type="dxa" w:w="1548"/>
            <w:tcBorders>
              <w:bottom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구분</w:t>
            </w:r>
          </w:p>
        </w:tc>
        <w:tc>
          <w:tcPr>
            <w:tcW w:type="dxa" w:w="2863"/>
            <w:tcBorders>
              <w:bottom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B사</w:t>
            </w:r>
          </w:p>
        </w:tc>
        <w:tc>
          <w:tcPr>
            <w:tcW w:type="dxa" w:w="2863"/>
            <w:tcBorders>
              <w:bottom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C사</w:t>
            </w:r>
          </w:p>
        </w:tc>
        <w:tc>
          <w:tcPr>
            <w:tcW w:type="dxa" w:w="2364"/>
            <w:tcBorders>
              <w:bottom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A사 2차 라인</w:t>
            </w:r>
          </w:p>
        </w:tc>
      </w:tr>
      <w:tr>
        <w:trPr>
          <w:cantSplit/>
          <w:trHeight w:hRule="atLeast" w:val="567"/>
        </w:trPr>
        <w:tc>
          <w:tcPr>
            <w:tcW w:type="dxa" w:w="1548"/>
            <w:tcBorders>
              <w:top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성능 동등성</w:t>
            </w:r>
          </w:p>
        </w:tc>
        <w:tc>
          <w:tcPr>
            <w:tcW w:type="dxa" w:w="2863"/>
            <w:tcBorders>
              <w:top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시험 결과 동등(사양 대비 98%)</w:t>
            </w:r>
          </w:p>
        </w:tc>
        <w:tc>
          <w:tcPr>
            <w:tcW w:type="dxa" w:w="2863"/>
            <w:tcBorders>
              <w:top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시험 진행 중, 중간 결과 양호</w:t>
            </w:r>
          </w:p>
        </w:tc>
        <w:tc>
          <w:tcPr>
            <w:tcW w:type="dxa" w:w="2364"/>
            <w:tcBorders>
              <w:top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동일 제품</w:t>
            </w:r>
          </w:p>
        </w:tc>
      </w:tr>
      <w:tr>
        <w:trPr>
          <w:cantSplit/>
          <w:trHeight w:hRule="atLeast" w:val="567"/>
        </w:trPr>
        <w:tc>
          <w:tcPr>
            <w:tcW w:type="dxa" w:w="15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검증 소요</w:t>
            </w:r>
          </w:p>
        </w:tc>
        <w:tc>
          <w:tcPr>
            <w:tcW w:type="dxa" w:w="28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약 4개월</w:t>
            </w:r>
          </w:p>
        </w:tc>
        <w:tc>
          <w:tcPr>
            <w:tcW w:type="dxa" w:w="28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약 6개월</w:t>
            </w:r>
          </w:p>
        </w:tc>
        <w:tc>
          <w:tcPr>
            <w:tcW w:type="dxa" w:w="23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불필요</w:t>
            </w:r>
          </w:p>
        </w:tc>
      </w:tr>
      <w:tr>
        <w:trPr>
          <w:cantSplit/>
          <w:trHeight w:hRule="atLeast" w:val="567"/>
        </w:trPr>
        <w:tc>
          <w:tcPr>
            <w:tcW w:type="dxa" w:w="15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단가(개당)</w:t>
            </w:r>
          </w:p>
        </w:tc>
        <w:tc>
          <w:tcPr>
            <w:tcW w:type="dxa" w:w="28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1,720만원</w:t>
            </w:r>
          </w:p>
        </w:tc>
        <w:tc>
          <w:tcPr>
            <w:tcW w:type="dxa" w:w="28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1,580만원</w:t>
            </w:r>
          </w:p>
        </w:tc>
        <w:tc>
          <w:tcPr>
            <w:tcW w:type="dxa" w:w="23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1,850만원</w:t>
            </w:r>
          </w:p>
        </w:tc>
      </w:tr>
      <w:tr>
        <w:trPr>
          <w:cantSplit/>
          <w:trHeight w:hRule="atLeast" w:val="567"/>
        </w:trPr>
        <w:tc>
          <w:tcPr>
            <w:tcW w:type="dxa" w:w="15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월 공급 물량</w:t>
            </w:r>
          </w:p>
        </w:tc>
        <w:tc>
          <w:tcPr>
            <w:tcW w:type="dxa" w:w="28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최대 120개</w:t>
            </w:r>
          </w:p>
        </w:tc>
        <w:tc>
          <w:tcPr>
            <w:tcW w:type="dxa" w:w="28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최대 200개</w:t>
            </w:r>
          </w:p>
        </w:tc>
        <w:tc>
          <w:tcPr>
            <w:tcW w:type="dxa" w:w="23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추가 80개</w:t>
            </w:r>
          </w:p>
        </w:tc>
      </w:tr>
      <w:tr>
        <w:trPr>
          <w:cantSplit/>
          <w:trHeight w:hRule="atLeast" w:val="567"/>
        </w:trPr>
        <w:tc>
          <w:tcPr>
            <w:tcW w:type="dxa" w:w="15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리스크</w:t>
            </w:r>
          </w:p>
        </w:tc>
        <w:tc>
          <w:tcPr>
            <w:tcW w:type="dxa" w:w="28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신규 거래선, 품질 이력 짧음</w:t>
            </w:r>
          </w:p>
        </w:tc>
        <w:tc>
          <w:tcPr>
            <w:tcW w:type="dxa" w:w="28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사양 승인 일정 미확정</w:t>
            </w:r>
          </w:p>
        </w:tc>
        <w:tc>
          <w:tcPr>
            <w:tcW w:type="dxa" w:w="23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공급 지연 위험 동일</w:t>
            </w:r>
          </w:p>
        </w:tc>
      </w:tr>
    </w:tbl>
    <w:p>
      <w:pPr>
        <w:spacing w:before="36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3. </w:t>
      </w:r>
      <w:r>
        <w:rPr>
          <w:rFonts w:ascii="바탕체" w:hAnsi="바탕체" w:eastAsia="바탕체"/>
          <w:b/>
          <w:color w:val="000000"/>
          <w:sz w:val="28"/>
        </w:rPr>
        <w:t>검토 의견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B사 : 단기 보완 수단으로 적합하나 물량이 제한적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샘플 시험에서 사양 대비 98% 수준 확인, 양산 품질 이력은 추가 확인 필요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C사 : 단가와 물량 측면에서 가장 유리하나 검증 완료 시점이 불확실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사양 승인 일정은 C사 내부 절차에 따라 달라질 수 있음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A사 2차 라인 : 즉시 활용 가능하나 단일 공급 구조는 해소되지 않음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 </w:t>
      </w:r>
      <w:r>
        <w:rPr>
          <w:rFonts w:ascii="바탕체" w:hAnsi="바탕체" w:eastAsia="바탕체"/>
          <w:color w:val="000000"/>
          <w:sz w:val="28"/>
        </w:rPr>
        <w:t>※ 2차 라인 증설분(월 80개)은 11월 가동 목표로 알려졌으나 A사 확정 통보는 아직 없음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4. </w:t>
      </w:r>
      <w:r>
        <w:rPr>
          <w:rFonts w:ascii="바탕체" w:hAnsi="바탕체" w:eastAsia="바탕체"/>
          <w:b/>
          <w:color w:val="000000"/>
          <w:sz w:val="28"/>
        </w:rPr>
        <w:t>제 언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단기 : B사 병행 검증 즉시 착수 및 A사 2차 라인 물량 확보 협의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중기 : C사 검증 지속, 사양 승인 일정 확정 시 주 공급사 전환 검토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목표 비중 : 내년 말까지 A사 60%, B사 및 C사 합계 40%</w:t>
      </w:r>
    </w:p>
    <w:p>
      <w:pPr>
        <w:spacing w:before="0" w:after="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 </w:t>
      </w:r>
      <w:r>
        <w:rPr>
          <w:rFonts w:ascii="바탕체" w:hAnsi="바탕체" w:eastAsia="바탕체"/>
          <w:color w:val="000000"/>
          <w:sz w:val="28"/>
        </w:rPr>
        <w:t>※ 비중 조정 시 연간 약 36.6억원 비용 절감 효과 추정 (월 144개 기준, B사 60개·C사 84개 / 개당 단가 차이 130만원·270만원 적용)</w:t>
      </w:r>
    </w:p>
    <w:p>
      <w:pPr>
        <w:spacing w:before="360" w:after="0" w:line="343" w:lineRule="auto"/>
        <w:jc w:val="right"/>
      </w:pPr>
      <w:r>
        <w:rPr>
          <w:rFonts w:ascii="바탕체" w:hAnsi="바탕체" w:eastAsia="바탕체"/>
          <w:color w:val="000000"/>
          <w:sz w:val="28"/>
        </w:rPr>
        <w:t>- 이 상 -</w:t>
      </w:r>
    </w:p>
    <w:sectPr w:rsidR="00FC693F" w:rsidRPr="0006063C" w:rsidSect="00034616">
      <w:pgSz w:w="11906" w:h="16838"/>
      <w:pgMar w:top="1417" w:right="1134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balanceSingleByteDoubleByteWidth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