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바탕체" w:hAnsi="바탕체" w:eastAsia="바탕체"/>
          <w:b/>
          <w:color w:val="000000"/>
          <w:sz w:val="40"/>
          <w:u w:val="single"/>
        </w:rPr>
        <w:t>AI 코딩 도구 도입 추진 현황 및 확산 방향</w:t>
      </w:r>
    </w:p>
    <w:p>
      <w:pPr>
        <w:spacing w:before="0" w:after="180" w:line="312" w:lineRule="auto"/>
        <w:jc w:val="right"/>
      </w:pPr>
      <w:r>
        <w:rPr>
          <w:rFonts w:ascii="바탕체" w:hAnsi="바탕체" w:eastAsia="바탕체"/>
          <w:color w:val="000000"/>
          <w:sz w:val="28"/>
        </w:rPr>
        <w:t>2026. 10. 7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1. </w:t>
      </w:r>
      <w:r>
        <w:rPr>
          <w:rFonts w:ascii="바탕체" w:hAnsi="바탕체" w:eastAsia="바탕체"/>
          <w:b/>
          <w:color w:val="000000"/>
          <w:sz w:val="28"/>
        </w:rPr>
        <w:t>추진 경과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파일럿 : 2026. 7. 1 ~ 8. 29 (8주), 3개 팀 80명 (개발 인력 420명의 19%)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작업 완료 시간 평균 18% 단축 (신규 기능 24%, 버그 수정 12%, 테스트 코드 작성 31%)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코드 리뷰 지적 건수 월 평균 9.2건 → 7.4건 (20% 감소)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만족도 5점 만점 4.1점, 지속 사용 의향 88%, 주 3회 이상 사용자 78%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보안심사 : 10월 초 완료, 핵심 알고리즘 및 고객 데이터 저장소는 전송 제외 조건으로 승인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9월 말 예정 대비 약 1주 지연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2. </w:t>
      </w:r>
      <w:r>
        <w:rPr>
          <w:rFonts w:ascii="바탕체" w:hAnsi="바탕체" w:eastAsia="바탕체"/>
          <w:b/>
          <w:color w:val="000000"/>
          <w:sz w:val="28"/>
        </w:rPr>
        <w:t>한 계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효과 편차 : 상위 팀 25% 단축 대비 하위 팀 9%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레거시 언어(C/C++ 기반 내부 프레임워크) 영역은 4%에 그침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보안 : 사내 소스 외부 전송 우려 설문 응답자의 41%, 파일럿 중 보안 관련 지적 3건 증가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전용 보안 점검 도구 병행으로 대응 가능한지 추가 확인 필요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3. </w:t>
      </w:r>
      <w:r>
        <w:rPr>
          <w:rFonts w:ascii="바탕체" w:hAnsi="바탕체" w:eastAsia="바탕체"/>
          <w:b/>
          <w:color w:val="000000"/>
          <w:sz w:val="28"/>
        </w:rPr>
        <w:t>도입 방식 비교</w:t>
      </w:r>
    </w:p>
    <w:tbl>
      <w:tblPr>
        <w:tblW w:type="dxa" w:w="9638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3" w:type="dxa"/>
          <w:left w:w="79" w:type="dxa"/>
          <w:bottom w:w="23" w:type="dxa"/>
          <w:right w:w="79" w:type="dxa"/>
        </w:tblCellMar>
        <w:tblLook w:firstColumn="1" w:firstRow="1" w:lastColumn="0" w:lastRow="0" w:noHBand="0" w:noVBand="1" w:val="04A0"/>
      </w:tblPr>
      <w:tblGrid>
        <w:gridCol w:w="1228"/>
        <w:gridCol w:w="4205"/>
        <w:gridCol w:w="4205"/>
      </w:tblGrid>
      <w:tr>
        <w:trPr>
          <w:cantSplit/>
          <w:trHeight w:hRule="atLeast" w:val="567"/>
          <w:tblHeader/>
        </w:trPr>
        <w:tc>
          <w:tcPr>
            <w:tcW w:type="dxa" w:w="1228"/>
            <w:tcBorders>
              <w:bottom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구분</w:t>
            </w:r>
          </w:p>
        </w:tc>
        <w:tc>
          <w:tcPr>
            <w:tcW w:type="dxa" w:w="4205"/>
            <w:tcBorders>
              <w:bottom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(1안) 외부 클라우드 서비스 이용</w:t>
            </w:r>
          </w:p>
        </w:tc>
        <w:tc>
          <w:tcPr>
            <w:tcW w:type="dxa" w:w="4205"/>
            <w:tcBorders>
              <w:bottom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(2안) 사내 전용 환경 구축</w:t>
            </w:r>
          </w:p>
        </w:tc>
      </w:tr>
      <w:tr>
        <w:trPr>
          <w:cantSplit/>
          <w:trHeight w:hRule="atLeast" w:val="567"/>
        </w:trPr>
        <w:tc>
          <w:tcPr>
            <w:tcW w:type="dxa" w:w="1228"/>
            <w:tcBorders>
              <w:top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보안</w:t>
            </w:r>
          </w:p>
        </w:tc>
        <w:tc>
          <w:tcPr>
            <w:tcW w:type="dxa" w:w="4205"/>
            <w:tcBorders>
              <w:top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소스 일부가 외부 서버로 전송</w:t>
            </w:r>
          </w:p>
        </w:tc>
        <w:tc>
          <w:tcPr>
            <w:tcW w:type="dxa" w:w="4205"/>
            <w:tcBorders>
              <w:top w:val="single" w:sz="12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사내망 내 처리, 외부 전송 없음</w:t>
            </w:r>
          </w:p>
        </w:tc>
      </w:tr>
      <w:tr>
        <w:trPr>
          <w:cantSplit/>
          <w:trHeight w:hRule="atLeast" w:val="567"/>
        </w:trPr>
        <w:tc>
          <w:tcPr>
            <w:tcW w:type="dxa" w:w="122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비용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1석당 월 25만원 / 150석 기준 연 4.5억원 / (3년 누적 13.5억원)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초기 구축비 12억원 / 운영비 연 3억원 / (3년 누적 21억원)</w:t>
            </w:r>
          </w:p>
        </w:tc>
      </w:tr>
      <w:tr>
        <w:trPr>
          <w:cantSplit/>
          <w:trHeight w:hRule="atLeast" w:val="567"/>
        </w:trPr>
        <w:tc>
          <w:tcPr>
            <w:tcW w:type="dxa" w:w="122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구축 기간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즉시 사용 가능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약 6개월</w:t>
            </w:r>
          </w:p>
        </w:tc>
      </w:tr>
      <w:tr>
        <w:trPr>
          <w:cantSplit/>
          <w:trHeight w:hRule="atLeast" w:val="567"/>
        </w:trPr>
        <w:tc>
          <w:tcPr>
            <w:tcW w:type="dxa" w:w="122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기술 수준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최신 모델 즉시 반영</w:t>
            </w:r>
          </w:p>
        </w:tc>
        <w:tc>
          <w:tcPr>
            <w:tcW w:type="dxa" w:w="42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/>
                <w:color w:val="000000"/>
                <w:sz w:val="24"/>
              </w:rPr>
              <w:t>모델 업데이트 주기에 따라 지연 가능</w:t>
            </w:r>
          </w:p>
        </w:tc>
      </w:tr>
    </w:tbl>
    <w:p>
      <w:pPr>
        <w:spacing w:before="12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4"/>
        </w:rPr>
        <w:t xml:space="preserve">    </w:t>
      </w:r>
      <w:r>
        <w:rPr>
          <w:rFonts w:ascii="바탕체" w:hAnsi="바탕체" w:eastAsia="바탕체"/>
          <w:color w:val="000000"/>
          <w:sz w:val="24"/>
        </w:rPr>
        <w:t>※ 3년 누적 기준 약 233석을 넘으면 2안이 유리 (2안 운영비가 석수와 무관하다는 가정)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4. </w:t>
      </w:r>
      <w:r>
        <w:rPr>
          <w:rFonts w:ascii="바탕체" w:hAnsi="바탕체" w:eastAsia="바탕체"/>
          <w:b/>
          <w:color w:val="000000"/>
          <w:sz w:val="28"/>
        </w:rPr>
        <w:t>확산 계획 및 의사결정 요청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단계별 확산 (1안 기준)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1단계 (2026년 4분기) : 150석, 개발 인력의 약 36%, 연 4.5억원 (4분기 반영분 1.1억원)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2단계 (2027년 상반기) : 300석, 연 9.0억원, 레거시 지원 범위 확인 후 결정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 </w:t>
      </w:r>
      <w:r>
        <w:rPr>
          <w:rFonts w:ascii="바탕체" w:hAnsi="바탕체" w:eastAsia="바탕체"/>
          <w:color w:val="000000"/>
          <w:sz w:val="28"/>
        </w:rPr>
        <w:t>※ 233석을 넘으므로 2안과 비용 재비교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3단계 (2027년 하반기 이후) : 420석 전체 확대, 방식은 재비교 결과에 따라 결정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기대 효과 : 420명 전체에 18% 단축 가정 시 연간 약 76명분 시간 확보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승인 요청 : 1단계 150석 도입 및 4분기 예산 1.1억원 집행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2단계는 2027년 2월 중 성과 점검 후 재상정 (점검 기준 : 단축률 15% 이상 유지, 보안 점검 이탈 0건)</w:t>
      </w:r>
    </w:p>
    <w:p>
      <w:pPr>
        <w:spacing w:before="360" w:after="0" w:line="343" w:lineRule="auto"/>
        <w:jc w:val="right"/>
      </w:pPr>
      <w:r>
        <w:rPr>
          <w:rFonts w:ascii="바탕체" w:hAnsi="바탕체" w:eastAsia="바탕체"/>
          <w:color w:val="000000"/>
          <w:sz w:val="28"/>
        </w:rPr>
        <w:t>- 이 상 -</w:t>
      </w:r>
    </w:p>
    <w:sectPr w:rsidR="00FC693F" w:rsidRPr="0006063C" w:rsidSect="00034616">
      <w:pgSz w:w="11906" w:h="16838"/>
      <w:pgMar w:top="1417" w:right="1134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balanceSingleByteDoubleByteWidth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