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바탕체" w:hAnsi="바탕체" w:eastAsia="바탕체"/>
          <w:b/>
          <w:color w:val="000000"/>
          <w:sz w:val="40"/>
          <w:u w:val="single"/>
        </w:rPr>
        <w:t>AI 코딩 도구 보안 및 비용 검토</w:t>
      </w:r>
    </w:p>
    <w:p>
      <w:pPr>
        <w:spacing w:before="0" w:after="180" w:line="312" w:lineRule="auto"/>
        <w:jc w:val="right"/>
      </w:pPr>
      <w:r>
        <w:rPr>
          <w:rFonts w:ascii="바탕체" w:hAnsi="바탕체" w:eastAsia="바탕체"/>
          <w:color w:val="000000"/>
          <w:sz w:val="28"/>
        </w:rPr>
        <w:t>2026. 9. 30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1. </w:t>
      </w:r>
      <w:r>
        <w:rPr>
          <w:rFonts w:ascii="바탕체" w:hAnsi="바탕체" w:eastAsia="바탕체"/>
          <w:b/>
          <w:color w:val="000000"/>
          <w:sz w:val="28"/>
        </w:rPr>
        <w:t>검토 배경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파일럿 결과(작업 시간 평균 18% 단축)를 바탕으로 전사 확대 도입 전 보안 및 비용 검토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쟁점 : 사내 소스 외부 전송 위험, 라이선스 비용, 도입 방식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2. </w:t>
      </w:r>
      <w:r>
        <w:rPr>
          <w:rFonts w:ascii="바탕체" w:hAnsi="바탕체" w:eastAsia="바탕체"/>
          <w:b/>
          <w:color w:val="000000"/>
          <w:sz w:val="28"/>
        </w:rPr>
        <w:t>도입 방식 비교</w:t>
      </w:r>
    </w:p>
    <w:tbl>
      <w:tblPr>
        <w:tblW w:type="dxa" w:w="9638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3" w:type="dxa"/>
          <w:left w:w="79" w:type="dxa"/>
          <w:bottom w:w="23" w:type="dxa"/>
          <w:right w:w="79" w:type="dxa"/>
        </w:tblCellMar>
        <w:tblLook w:firstColumn="1" w:firstRow="1" w:lastColumn="0" w:lastRow="0" w:noHBand="0" w:noVBand="1" w:val="04A0"/>
      </w:tblPr>
      <w:tblGrid>
        <w:gridCol w:w="1228"/>
        <w:gridCol w:w="4205"/>
        <w:gridCol w:w="4205"/>
      </w:tblGrid>
      <w:tr>
        <w:trPr>
          <w:cantSplit/>
          <w:trHeight w:hRule="atLeast" w:val="567"/>
          <w:tblHeader/>
        </w:trPr>
        <w:tc>
          <w:tcPr>
            <w:tcW w:type="dxa" w:w="1228"/>
            <w:tcBorders>
              <w:bottom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구분</w:t>
            </w:r>
          </w:p>
        </w:tc>
        <w:tc>
          <w:tcPr>
            <w:tcW w:type="dxa" w:w="4205"/>
            <w:tcBorders>
              <w:bottom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(1안) 외부 클라우드 서비스 이용</w:t>
            </w:r>
          </w:p>
        </w:tc>
        <w:tc>
          <w:tcPr>
            <w:tcW w:type="dxa" w:w="4205"/>
            <w:tcBorders>
              <w:bottom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(2안) 사내 전용 환경 구축</w:t>
            </w:r>
          </w:p>
        </w:tc>
      </w:tr>
      <w:tr>
        <w:trPr>
          <w:cantSplit/>
          <w:trHeight w:hRule="atLeast" w:val="567"/>
        </w:trPr>
        <w:tc>
          <w:tcPr>
            <w:tcW w:type="dxa" w:w="1228"/>
            <w:tcBorders>
              <w:top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보안</w:t>
            </w:r>
          </w:p>
        </w:tc>
        <w:tc>
          <w:tcPr>
            <w:tcW w:type="dxa" w:w="4205"/>
            <w:tcBorders>
              <w:top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소스 일부가 외부 서버로 전송됨</w:t>
            </w:r>
          </w:p>
        </w:tc>
        <w:tc>
          <w:tcPr>
            <w:tcW w:type="dxa" w:w="4205"/>
            <w:tcBorders>
              <w:top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사내망 내에서 처리, 외부 전송 없음</w:t>
            </w:r>
          </w:p>
        </w:tc>
      </w:tr>
      <w:tr>
        <w:trPr>
          <w:cantSplit/>
          <w:trHeight w:hRule="atLeast" w:val="567"/>
        </w:trPr>
        <w:tc>
          <w:tcPr>
            <w:tcW w:type="dxa" w:w="122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비용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1석당 월 25만원 / 150석 기준 연 4.5억원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초기 구축비 12억원 / 운영비 연 3억원</w:t>
            </w:r>
          </w:p>
        </w:tc>
      </w:tr>
      <w:tr>
        <w:trPr>
          <w:cantSplit/>
          <w:trHeight w:hRule="atLeast" w:val="567"/>
        </w:trPr>
        <w:tc>
          <w:tcPr>
            <w:tcW w:type="dxa" w:w="122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구축 기간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즉시 사용 가능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약 6개월</w:t>
            </w:r>
          </w:p>
        </w:tc>
      </w:tr>
      <w:tr>
        <w:trPr>
          <w:cantSplit/>
          <w:trHeight w:hRule="atLeast" w:val="567"/>
        </w:trPr>
        <w:tc>
          <w:tcPr>
            <w:tcW w:type="dxa" w:w="122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기술 수준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최신 모델 즉시 반영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모델 업데이트 주기에 따라 지연 가능</w:t>
            </w:r>
          </w:p>
        </w:tc>
      </w:tr>
    </w:tbl>
    <w:p>
      <w:pPr>
        <w:spacing w:before="36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3. </w:t>
      </w:r>
      <w:r>
        <w:rPr>
          <w:rFonts w:ascii="바탕체" w:hAnsi="바탕체" w:eastAsia="바탕체"/>
          <w:b/>
          <w:color w:val="000000"/>
          <w:sz w:val="28"/>
        </w:rPr>
        <w:t>검토 의견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보안심사 상태 : 외부 전송 데이터 범위 제한 조건부로 심사 진행 중 (9월 말 완료 예정이었으나 일정 연장)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전송 대상에서 핵심 알고리즘 및 고객 데이터 저장소 제외 조건 검토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비용 측면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1안은 초기 부담이 적으나 석수 증가에 비례해 비용 증가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2안은 3년 누적 기준 21억원(초기 12억원 + 운영 3억원 × 3년)으로, 1안 3년 누적 13.5억원보다 높음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3년 누적 기준 약 233석을 넘으면 2안이 유리 (21억원 ÷ 석당 900만원, 2안 운영비가 석수와 무관하다는 가정)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파일럿에서 확인된 보안 관련 지적 3건 증가는 전용 보안 점검 도구 병행으로 대응 가능한지 추가 확인 필요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4. </w:t>
      </w:r>
      <w:r>
        <w:rPr>
          <w:rFonts w:ascii="바탕체" w:hAnsi="바탕체" w:eastAsia="바탕체"/>
          <w:b/>
          <w:color w:val="000000"/>
          <w:sz w:val="28"/>
        </w:rPr>
        <w:t>제 언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1단계로 1안 기반 150석 도입, 보안 조건을 충족하는 범위로 한정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2안은 석수가 300석으로 늘어나는 시점에 재검토</w:t>
      </w:r>
    </w:p>
    <w:p>
      <w:pPr>
        <w:spacing w:before="0" w:after="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최종 결정은 보안심사 결과 확정 후 진행</w:t>
      </w:r>
    </w:p>
    <w:p>
      <w:pPr>
        <w:spacing w:before="360" w:after="0" w:line="343" w:lineRule="auto"/>
        <w:jc w:val="right"/>
      </w:pPr>
      <w:r>
        <w:rPr>
          <w:rFonts w:ascii="바탕체" w:hAnsi="바탕체" w:eastAsia="바탕체"/>
          <w:color w:val="000000"/>
          <w:sz w:val="28"/>
        </w:rPr>
        <w:t>- 이 상 -</w:t>
      </w:r>
    </w:p>
    <w:sectPr w:rsidR="00FC693F" w:rsidRPr="0006063C" w:rsidSect="00034616">
      <w:pgSz w:w="11906" w:h="16838"/>
      <w:pgMar w:top="1417" w:right="1134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balanceSingleByteDoubleByteWidth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