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B5126" w14:textId="0078C088" w:rsidR="00733F51" w:rsidRDefault="001E2666" w:rsidP="001E2666">
      <w:pPr>
        <w:pStyle w:val="Heading1"/>
      </w:pPr>
      <w:bookmarkStart w:id="0" w:name="_Toc460409967"/>
      <w:r>
        <w:t>Merging Records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476804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7EE24C" w14:textId="00F6916D" w:rsidR="001E2666" w:rsidRDefault="001E2666">
          <w:pPr>
            <w:pStyle w:val="TOCHeading"/>
          </w:pPr>
          <w:r>
            <w:t>Contents</w:t>
          </w:r>
        </w:p>
        <w:p w14:paraId="0D1723B9" w14:textId="77777777" w:rsidR="001E2666" w:rsidRDefault="001E2666">
          <w:pPr>
            <w:pStyle w:val="TOC1"/>
            <w:tabs>
              <w:tab w:val="right" w:leader="dot" w:pos="98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09967" w:history="1">
            <w:r w:rsidRPr="005E1EC3">
              <w:rPr>
                <w:rStyle w:val="Hyperlink"/>
                <w:noProof/>
              </w:rPr>
              <w:t>Merging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3058" w14:textId="77777777" w:rsidR="001E2666" w:rsidRDefault="008224F4">
          <w:pPr>
            <w:pStyle w:val="TOC2"/>
            <w:tabs>
              <w:tab w:val="right" w:leader="dot" w:pos="9894"/>
            </w:tabs>
            <w:rPr>
              <w:noProof/>
            </w:rPr>
          </w:pPr>
          <w:hyperlink w:anchor="_Toc460409968" w:history="1">
            <w:r w:rsidR="001E2666" w:rsidRPr="005E1EC3">
              <w:rPr>
                <w:rStyle w:val="Hyperlink"/>
                <w:noProof/>
              </w:rPr>
              <w:t>I. Notes</w:t>
            </w:r>
            <w:r w:rsidR="001E2666">
              <w:rPr>
                <w:noProof/>
                <w:webHidden/>
              </w:rPr>
              <w:tab/>
            </w:r>
            <w:r w:rsidR="001E2666">
              <w:rPr>
                <w:noProof/>
                <w:webHidden/>
              </w:rPr>
              <w:fldChar w:fldCharType="begin"/>
            </w:r>
            <w:r w:rsidR="001E2666">
              <w:rPr>
                <w:noProof/>
                <w:webHidden/>
              </w:rPr>
              <w:instrText xml:space="preserve"> PAGEREF _Toc460409968 \h </w:instrText>
            </w:r>
            <w:r w:rsidR="001E2666">
              <w:rPr>
                <w:noProof/>
                <w:webHidden/>
              </w:rPr>
            </w:r>
            <w:r w:rsidR="001E2666">
              <w:rPr>
                <w:noProof/>
                <w:webHidden/>
              </w:rPr>
              <w:fldChar w:fldCharType="separate"/>
            </w:r>
            <w:r w:rsidR="001E2666">
              <w:rPr>
                <w:noProof/>
                <w:webHidden/>
              </w:rPr>
              <w:t>1</w:t>
            </w:r>
            <w:r w:rsidR="001E2666">
              <w:rPr>
                <w:noProof/>
                <w:webHidden/>
              </w:rPr>
              <w:fldChar w:fldCharType="end"/>
            </w:r>
          </w:hyperlink>
        </w:p>
        <w:p w14:paraId="73C58C63" w14:textId="77777777" w:rsidR="001E2666" w:rsidRDefault="008224F4">
          <w:pPr>
            <w:pStyle w:val="TOC2"/>
            <w:tabs>
              <w:tab w:val="right" w:leader="dot" w:pos="9894"/>
            </w:tabs>
            <w:rPr>
              <w:noProof/>
            </w:rPr>
          </w:pPr>
          <w:hyperlink w:anchor="_Toc460409969" w:history="1">
            <w:r w:rsidR="001E2666" w:rsidRPr="005E1EC3">
              <w:rPr>
                <w:rStyle w:val="Hyperlink"/>
                <w:noProof/>
              </w:rPr>
              <w:t>II. Merging the records</w:t>
            </w:r>
            <w:r w:rsidR="001E2666">
              <w:rPr>
                <w:noProof/>
                <w:webHidden/>
              </w:rPr>
              <w:tab/>
            </w:r>
            <w:r w:rsidR="001E2666">
              <w:rPr>
                <w:noProof/>
                <w:webHidden/>
              </w:rPr>
              <w:fldChar w:fldCharType="begin"/>
            </w:r>
            <w:r w:rsidR="001E2666">
              <w:rPr>
                <w:noProof/>
                <w:webHidden/>
              </w:rPr>
              <w:instrText xml:space="preserve"> PAGEREF _Toc460409969 \h </w:instrText>
            </w:r>
            <w:r w:rsidR="001E2666">
              <w:rPr>
                <w:noProof/>
                <w:webHidden/>
              </w:rPr>
            </w:r>
            <w:r w:rsidR="001E2666">
              <w:rPr>
                <w:noProof/>
                <w:webHidden/>
              </w:rPr>
              <w:fldChar w:fldCharType="separate"/>
            </w:r>
            <w:r w:rsidR="001E2666">
              <w:rPr>
                <w:noProof/>
                <w:webHidden/>
              </w:rPr>
              <w:t>1</w:t>
            </w:r>
            <w:r w:rsidR="001E2666">
              <w:rPr>
                <w:noProof/>
                <w:webHidden/>
              </w:rPr>
              <w:fldChar w:fldCharType="end"/>
            </w:r>
          </w:hyperlink>
        </w:p>
        <w:p w14:paraId="7CA7ABCB" w14:textId="77777777" w:rsidR="001E2666" w:rsidRDefault="008224F4">
          <w:pPr>
            <w:pStyle w:val="TOC2"/>
            <w:tabs>
              <w:tab w:val="right" w:leader="dot" w:pos="9894"/>
            </w:tabs>
            <w:rPr>
              <w:noProof/>
            </w:rPr>
          </w:pPr>
          <w:hyperlink w:anchor="_Toc460409970" w:history="1">
            <w:r w:rsidR="001E2666" w:rsidRPr="005E1EC3">
              <w:rPr>
                <w:rStyle w:val="Hyperlink"/>
                <w:noProof/>
              </w:rPr>
              <w:t>III. Post-Merge Clean-up</w:t>
            </w:r>
            <w:r w:rsidR="001E2666">
              <w:rPr>
                <w:noProof/>
                <w:webHidden/>
              </w:rPr>
              <w:tab/>
            </w:r>
            <w:r w:rsidR="001E2666">
              <w:rPr>
                <w:noProof/>
                <w:webHidden/>
              </w:rPr>
              <w:fldChar w:fldCharType="begin"/>
            </w:r>
            <w:r w:rsidR="001E2666">
              <w:rPr>
                <w:noProof/>
                <w:webHidden/>
              </w:rPr>
              <w:instrText xml:space="preserve"> PAGEREF _Toc460409970 \h </w:instrText>
            </w:r>
            <w:r w:rsidR="001E2666">
              <w:rPr>
                <w:noProof/>
                <w:webHidden/>
              </w:rPr>
            </w:r>
            <w:r w:rsidR="001E2666">
              <w:rPr>
                <w:noProof/>
                <w:webHidden/>
              </w:rPr>
              <w:fldChar w:fldCharType="separate"/>
            </w:r>
            <w:r w:rsidR="001E2666">
              <w:rPr>
                <w:noProof/>
                <w:webHidden/>
              </w:rPr>
              <w:t>1</w:t>
            </w:r>
            <w:r w:rsidR="001E2666">
              <w:rPr>
                <w:noProof/>
                <w:webHidden/>
              </w:rPr>
              <w:fldChar w:fldCharType="end"/>
            </w:r>
          </w:hyperlink>
        </w:p>
        <w:p w14:paraId="25BC3CA1" w14:textId="31AE260D" w:rsidR="001E2666" w:rsidRDefault="001E2666">
          <w:r>
            <w:rPr>
              <w:b/>
              <w:bCs/>
              <w:noProof/>
            </w:rPr>
            <w:fldChar w:fldCharType="end"/>
          </w:r>
        </w:p>
      </w:sdtContent>
    </w:sdt>
    <w:p w14:paraId="5AA0601E" w14:textId="3CBA8819" w:rsidR="001E2666" w:rsidRDefault="001E2666" w:rsidP="001E2666">
      <w:pPr>
        <w:pStyle w:val="Heading2"/>
      </w:pPr>
      <w:bookmarkStart w:id="1" w:name="_Toc460409968"/>
      <w:r>
        <w:t>I. Notes</w:t>
      </w:r>
      <w:bookmarkEnd w:id="1"/>
    </w:p>
    <w:p w14:paraId="2435E6E3" w14:textId="07D40991" w:rsidR="001E2666" w:rsidRDefault="001E2666" w:rsidP="001E2666">
      <w:bookmarkStart w:id="2" w:name="_Toc460409969"/>
      <w:r>
        <w:rPr>
          <w:b/>
        </w:rPr>
        <w:t xml:space="preserve">Merging records should only be undertaken with explicit permission from Development Operations Leadership </w:t>
      </w:r>
      <w:r w:rsidRPr="000B19D7">
        <w:t xml:space="preserve">Once you merge </w:t>
      </w:r>
      <w:r>
        <w:t>two</w:t>
      </w:r>
      <w:r w:rsidRPr="000B19D7">
        <w:t xml:space="preserve"> records this </w:t>
      </w:r>
      <w:r w:rsidRPr="000B19D7">
        <w:rPr>
          <w:u w:val="single"/>
        </w:rPr>
        <w:t>cannot</w:t>
      </w:r>
      <w:r w:rsidRPr="000B19D7">
        <w:t xml:space="preserve"> be undone.</w:t>
      </w:r>
      <w:r>
        <w:t xml:space="preserve"> When undertaking the merging of two records, you must be</w:t>
      </w:r>
      <w:r w:rsidRPr="00B45F49">
        <w:rPr>
          <w:sz w:val="26"/>
          <w:szCs w:val="26"/>
        </w:rPr>
        <w:t xml:space="preserve"> </w:t>
      </w:r>
      <w:r w:rsidRPr="003567D6">
        <w:t>certain that the</w:t>
      </w:r>
      <w:r>
        <w:t>y belong to the same person or couple—matching addresses, constituent information, or confirmation by donor/relationship manager</w:t>
      </w:r>
      <w:r w:rsidRPr="003567D6">
        <w:t xml:space="preserve">. </w:t>
      </w:r>
      <w:r>
        <w:t xml:space="preserve"> RE does not allow individual records to be merged with organizational records.  If, for some reason, you need to merge the two, talk to the Systems and Operations Coordinator.</w:t>
      </w:r>
    </w:p>
    <w:p w14:paraId="42E76A35" w14:textId="77777777" w:rsidR="001E2666" w:rsidRDefault="001E2666" w:rsidP="001E2666"/>
    <w:p w14:paraId="42E241A1" w14:textId="77777777" w:rsidR="001E2666" w:rsidRDefault="001E2666" w:rsidP="001E2666">
      <w:r>
        <w:t xml:space="preserve">If you want to merge a constituent that has a solicitor, talk to the constituents’ Relationship Manager before merging. </w:t>
      </w:r>
    </w:p>
    <w:p w14:paraId="41CB28CE" w14:textId="77777777" w:rsidR="00A540FC" w:rsidRDefault="00A540FC" w:rsidP="001E2666"/>
    <w:p w14:paraId="29E94A31" w14:textId="1B354F2F" w:rsidR="00A540FC" w:rsidRDefault="00A540FC" w:rsidP="001E2666">
      <w:r>
        <w:t xml:space="preserve">Primary Record: </w:t>
      </w:r>
      <w:r w:rsidR="00F877D4">
        <w:t xml:space="preserve">The older record (lower first four of Constituent ID) which will receive the merged data. </w:t>
      </w:r>
      <w:r w:rsidR="00F877D4" w:rsidRPr="00F877D4">
        <w:t>It’s best to keep the record that has the oldest constituent ID so it doesn’t appear as a newly created record.</w:t>
      </w:r>
    </w:p>
    <w:p w14:paraId="3FF6E6D0" w14:textId="3FBD8859" w:rsidR="00F877D4" w:rsidRDefault="00F877D4" w:rsidP="001E2666">
      <w:r>
        <w:t>Secondary Record: The newer record (higher first four of Constituent ID) which will be marked for deletion.</w:t>
      </w:r>
    </w:p>
    <w:p w14:paraId="6C7FBF70" w14:textId="77777777" w:rsidR="001E2666" w:rsidRPr="00542D55" w:rsidRDefault="001E2666" w:rsidP="001E2666">
      <w:pPr>
        <w:rPr>
          <w:b/>
        </w:rPr>
      </w:pPr>
    </w:p>
    <w:p w14:paraId="6785FBF7" w14:textId="24245D93" w:rsidR="001E2666" w:rsidRDefault="001E2666" w:rsidP="001E2666">
      <w:pPr>
        <w:pStyle w:val="Heading2"/>
      </w:pPr>
      <w:r>
        <w:t>II. Merging the records</w:t>
      </w:r>
      <w:bookmarkEnd w:id="2"/>
    </w:p>
    <w:p w14:paraId="24D1FC1F" w14:textId="0F0EA10E" w:rsidR="001E2666" w:rsidRPr="003567D6" w:rsidRDefault="001E2666" w:rsidP="00F877D4">
      <w:pPr>
        <w:pStyle w:val="ListParagraph"/>
        <w:numPr>
          <w:ilvl w:val="0"/>
          <w:numId w:val="4"/>
        </w:numPr>
      </w:pPr>
      <w:r w:rsidRPr="003567D6">
        <w:t xml:space="preserve">Open the </w:t>
      </w:r>
      <w:r w:rsidR="00F877D4">
        <w:t>primary record.</w:t>
      </w:r>
    </w:p>
    <w:p w14:paraId="26C1E6D6" w14:textId="77777777" w:rsidR="001E2666" w:rsidRPr="003567D6" w:rsidRDefault="001E2666" w:rsidP="00F877D4">
      <w:pPr>
        <w:pStyle w:val="ListParagraph"/>
        <w:numPr>
          <w:ilvl w:val="0"/>
          <w:numId w:val="4"/>
        </w:numPr>
        <w:spacing w:after="200" w:line="276" w:lineRule="auto"/>
      </w:pPr>
      <w:r w:rsidRPr="003567D6">
        <w:t>From the menu bar at the top of the donor record, select Constituent/ Merge/ merge a constituent into this record.</w:t>
      </w:r>
    </w:p>
    <w:p w14:paraId="77C174B5" w14:textId="5C499CBB" w:rsidR="001E2666" w:rsidRPr="003567D6" w:rsidRDefault="001E2666" w:rsidP="00F877D4">
      <w:pPr>
        <w:pStyle w:val="ListParagraph"/>
        <w:numPr>
          <w:ilvl w:val="0"/>
          <w:numId w:val="4"/>
        </w:numPr>
        <w:spacing w:after="200" w:line="276" w:lineRule="auto"/>
      </w:pPr>
      <w:r w:rsidRPr="003567D6">
        <w:t xml:space="preserve">Search for the duplicate record </w:t>
      </w:r>
      <w:r w:rsidR="00F877D4">
        <w:t xml:space="preserve">(use Constituent ID) </w:t>
      </w:r>
      <w:r w:rsidRPr="003567D6">
        <w:t>and click open</w:t>
      </w:r>
    </w:p>
    <w:p w14:paraId="53A74335" w14:textId="77777777" w:rsidR="001E2666" w:rsidRPr="00F877D4" w:rsidRDefault="001E2666" w:rsidP="00F877D4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A5E433A" wp14:editId="3D460547">
            <wp:extent cx="5248275" cy="36290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A210B" w14:textId="77777777" w:rsidR="001E2666" w:rsidRDefault="001E2666" w:rsidP="001E2666">
      <w:pPr>
        <w:pStyle w:val="ListParagraph"/>
        <w:tabs>
          <w:tab w:val="left" w:pos="1080"/>
        </w:tabs>
        <w:ind w:left="1080"/>
      </w:pPr>
    </w:p>
    <w:p w14:paraId="21B7E5D3" w14:textId="32611D2F" w:rsidR="001E2666" w:rsidRDefault="001E2666" w:rsidP="00F877D4">
      <w:pPr>
        <w:pStyle w:val="ListParagraph"/>
        <w:numPr>
          <w:ilvl w:val="0"/>
          <w:numId w:val="4"/>
        </w:numPr>
        <w:tabs>
          <w:tab w:val="left" w:pos="1440"/>
        </w:tabs>
        <w:spacing w:after="200" w:line="276" w:lineRule="auto"/>
      </w:pPr>
      <w:r>
        <w:t>C</w:t>
      </w:r>
      <w:r w:rsidRPr="003567D6">
        <w:t>lick on the double arrows to bring over all the information as shown above</w:t>
      </w:r>
    </w:p>
    <w:p w14:paraId="4EA884C3" w14:textId="507593A4" w:rsidR="001E2666" w:rsidRDefault="001E2666" w:rsidP="00F877D4">
      <w:pPr>
        <w:pStyle w:val="ListParagraph"/>
        <w:numPr>
          <w:ilvl w:val="0"/>
          <w:numId w:val="4"/>
        </w:numPr>
        <w:tabs>
          <w:tab w:val="left" w:pos="1440"/>
        </w:tabs>
        <w:spacing w:after="200" w:line="276" w:lineRule="auto"/>
      </w:pPr>
      <w:r w:rsidRPr="001E2666">
        <w:t>DO NOT check the “delete source constituent” box at this point.</w:t>
      </w:r>
    </w:p>
    <w:p w14:paraId="6AFB4162" w14:textId="3306E094" w:rsidR="001E2666" w:rsidRDefault="001E2666" w:rsidP="00F877D4">
      <w:pPr>
        <w:pStyle w:val="ListParagraph"/>
        <w:numPr>
          <w:ilvl w:val="0"/>
          <w:numId w:val="4"/>
        </w:numPr>
        <w:tabs>
          <w:tab w:val="left" w:pos="1440"/>
        </w:tabs>
        <w:spacing w:after="200" w:line="276" w:lineRule="auto"/>
      </w:pPr>
      <w:r>
        <w:t>Click the Merge Now button</w:t>
      </w:r>
    </w:p>
    <w:p w14:paraId="707B714A" w14:textId="20E50AB7" w:rsidR="001E2666" w:rsidRPr="003567D6" w:rsidRDefault="001E2666" w:rsidP="001E2666">
      <w:pPr>
        <w:pStyle w:val="ListParagraph"/>
      </w:pPr>
    </w:p>
    <w:p w14:paraId="1610932E" w14:textId="351DAD11" w:rsidR="001E2666" w:rsidRDefault="001E2666" w:rsidP="001E2666">
      <w:pPr>
        <w:pStyle w:val="Heading2"/>
      </w:pPr>
      <w:bookmarkStart w:id="3" w:name="_Toc460409970"/>
      <w:r>
        <w:t>III. Post-Merge Clean-up</w:t>
      </w:r>
      <w:bookmarkEnd w:id="3"/>
    </w:p>
    <w:p w14:paraId="447BF13F" w14:textId="6182FC95" w:rsidR="001E2666" w:rsidRDefault="00F877D4" w:rsidP="00F877D4">
      <w:pPr>
        <w:pStyle w:val="ListParagraph"/>
        <w:numPr>
          <w:ilvl w:val="0"/>
          <w:numId w:val="5"/>
        </w:numPr>
      </w:pPr>
      <w:r>
        <w:t>Open the primary record</w:t>
      </w:r>
    </w:p>
    <w:p w14:paraId="50CAB0B8" w14:textId="30B6A032" w:rsidR="00F877D4" w:rsidRDefault="00F877D4" w:rsidP="00F877D4">
      <w:pPr>
        <w:pStyle w:val="ListParagraph"/>
        <w:numPr>
          <w:ilvl w:val="1"/>
          <w:numId w:val="5"/>
        </w:numPr>
      </w:pPr>
      <w:r>
        <w:t>Open the Alias section (next to the last/org name) and write in the secondary Constituent ID. Choose Merged ID from dropdown.</w:t>
      </w:r>
    </w:p>
    <w:p w14:paraId="37AADB94" w14:textId="6A3B2D93" w:rsidR="00F877D4" w:rsidRDefault="00F877D4" w:rsidP="00F877D4">
      <w:pPr>
        <w:pStyle w:val="ListParagraph"/>
        <w:numPr>
          <w:ilvl w:val="1"/>
          <w:numId w:val="5"/>
        </w:numPr>
      </w:pPr>
      <w:r>
        <w:t>In the Bio 2 tab, clean up duplicate constituent codes.</w:t>
      </w:r>
    </w:p>
    <w:p w14:paraId="692C796D" w14:textId="263E44E1" w:rsidR="00F877D4" w:rsidRDefault="00F877D4" w:rsidP="00F877D4">
      <w:pPr>
        <w:pStyle w:val="ListParagraph"/>
        <w:numPr>
          <w:ilvl w:val="1"/>
          <w:numId w:val="5"/>
        </w:numPr>
      </w:pPr>
      <w:r>
        <w:t>Add a notepad: Type—Merge Details; Title—Merged from [secondary ID]; Notes—Details of/reasons for merge, such as e-mail requesting merge</w:t>
      </w:r>
      <w:bookmarkStart w:id="4" w:name="_GoBack"/>
      <w:bookmarkEnd w:id="4"/>
    </w:p>
    <w:p w14:paraId="72856959" w14:textId="687C5AEE" w:rsidR="00F877D4" w:rsidRDefault="00F877D4" w:rsidP="00F877D4">
      <w:pPr>
        <w:pStyle w:val="ListParagraph"/>
        <w:numPr>
          <w:ilvl w:val="0"/>
          <w:numId w:val="5"/>
        </w:numPr>
      </w:pPr>
      <w:r>
        <w:t>Secondary</w:t>
      </w:r>
    </w:p>
    <w:p w14:paraId="3DE536AB" w14:textId="4A1D877A" w:rsidR="00F877D4" w:rsidRDefault="00F877D4" w:rsidP="00F877D4">
      <w:pPr>
        <w:pStyle w:val="ListParagraph"/>
        <w:numPr>
          <w:ilvl w:val="1"/>
          <w:numId w:val="5"/>
        </w:numPr>
      </w:pPr>
      <w:r>
        <w:t>Add attribute: Category—Delete record; Description—Yes; Date—current date</w:t>
      </w:r>
    </w:p>
    <w:p w14:paraId="7890EAC3" w14:textId="77777777" w:rsidR="00F877D4" w:rsidRPr="001E2666" w:rsidRDefault="00F877D4" w:rsidP="001E2666"/>
    <w:sectPr w:rsidR="00F877D4" w:rsidRPr="001E2666" w:rsidSect="00C7118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990" w:right="1166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0B1E3" w14:textId="77777777" w:rsidR="00364CB5" w:rsidRDefault="00364CB5" w:rsidP="00C71187">
      <w:r>
        <w:separator/>
      </w:r>
    </w:p>
  </w:endnote>
  <w:endnote w:type="continuationSeparator" w:id="0">
    <w:p w14:paraId="5C4D75D8" w14:textId="77777777" w:rsidR="00364CB5" w:rsidRDefault="00364CB5" w:rsidP="00C7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8D4F9" w14:textId="77777777" w:rsidR="00C71187" w:rsidRDefault="008224F4">
    <w:pPr>
      <w:pStyle w:val="Footer"/>
    </w:pPr>
    <w:sdt>
      <w:sdtPr>
        <w:id w:val="96940074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7118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55400" w14:textId="77777777" w:rsidR="00C71187" w:rsidRDefault="00E27636" w:rsidP="00E27636">
    <w:pPr>
      <w:pStyle w:val="Footer"/>
    </w:pPr>
    <w:r>
      <w:rPr>
        <w:noProof/>
      </w:rPr>
      <w:drawing>
        <wp:inline distT="0" distB="0" distL="0" distR="0" wp14:anchorId="4E0D6869" wp14:editId="736B60FA">
          <wp:extent cx="6286500" cy="542925"/>
          <wp:effectExtent l="0" t="0" r="0" b="9525"/>
          <wp:docPr id="1" name="Picture 1" descr="C:\Users\wcohen\Desktop\PIH Letterhead Address P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cohen\Desktop\PIH Letterhead Address Pr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A2C59" w14:textId="77777777" w:rsidR="00364CB5" w:rsidRDefault="00364CB5" w:rsidP="00C71187">
      <w:r>
        <w:separator/>
      </w:r>
    </w:p>
  </w:footnote>
  <w:footnote w:type="continuationSeparator" w:id="0">
    <w:p w14:paraId="500F4F1A" w14:textId="77777777" w:rsidR="00364CB5" w:rsidRDefault="00364CB5" w:rsidP="00C7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87F1C" w14:textId="77777777" w:rsidR="00C71187" w:rsidRDefault="008224F4">
    <w:pPr>
      <w:pStyle w:val="Header"/>
    </w:pPr>
    <w:sdt>
      <w:sdtPr>
        <w:id w:val="17199962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C71187">
          <w:t>[Type text]</w:t>
        </w:r>
      </w:sdtContent>
    </w:sdt>
  </w:p>
  <w:p w14:paraId="29212951" w14:textId="77777777" w:rsidR="00C71187" w:rsidRDefault="00C71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D3D8B" w14:textId="77777777" w:rsidR="00C71187" w:rsidRDefault="00E10D47">
    <w:pPr>
      <w:pStyle w:val="Header"/>
    </w:pPr>
    <w:r>
      <w:rPr>
        <w:noProof/>
      </w:rPr>
      <w:drawing>
        <wp:inline distT="0" distB="0" distL="0" distR="0" wp14:anchorId="1C00D0D2" wp14:editId="6657B6D1">
          <wp:extent cx="6286500" cy="819150"/>
          <wp:effectExtent l="0" t="0" r="0" b="0"/>
          <wp:docPr id="14" name="Picture 14" descr="C:\Users\wcohen\Desktop\PIHDevOpsLetterhead_AP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cohen\Desktop\PIHDevOpsLetterhead_APa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6407"/>
    <w:multiLevelType w:val="hybridMultilevel"/>
    <w:tmpl w:val="51D0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157E"/>
    <w:multiLevelType w:val="hybridMultilevel"/>
    <w:tmpl w:val="74ECD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E4411"/>
    <w:multiLevelType w:val="hybridMultilevel"/>
    <w:tmpl w:val="F76EB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37FE4"/>
    <w:multiLevelType w:val="hybridMultilevel"/>
    <w:tmpl w:val="54EC6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9176F"/>
    <w:multiLevelType w:val="hybridMultilevel"/>
    <w:tmpl w:val="2DB4D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07DA"/>
    <w:multiLevelType w:val="hybridMultilevel"/>
    <w:tmpl w:val="A9CC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B5"/>
    <w:rsid w:val="001E2666"/>
    <w:rsid w:val="00256D10"/>
    <w:rsid w:val="002D3FC0"/>
    <w:rsid w:val="00364CB5"/>
    <w:rsid w:val="00451698"/>
    <w:rsid w:val="004733CC"/>
    <w:rsid w:val="005F4E3F"/>
    <w:rsid w:val="006B490F"/>
    <w:rsid w:val="00733F51"/>
    <w:rsid w:val="008224F4"/>
    <w:rsid w:val="00A540FC"/>
    <w:rsid w:val="00C71187"/>
    <w:rsid w:val="00E10D47"/>
    <w:rsid w:val="00E27636"/>
    <w:rsid w:val="00F8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F88EF82"/>
  <w14:defaultImageDpi w14:val="300"/>
  <w15:docId w15:val="{ED9368D1-E64C-44EA-B3BF-D3CC9969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6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187"/>
  </w:style>
  <w:style w:type="paragraph" w:styleId="Footer">
    <w:name w:val="footer"/>
    <w:basedOn w:val="Normal"/>
    <w:link w:val="Foot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187"/>
  </w:style>
  <w:style w:type="paragraph" w:styleId="BalloonText">
    <w:name w:val="Balloon Text"/>
    <w:basedOn w:val="Normal"/>
    <w:link w:val="BalloonTextChar"/>
    <w:uiPriority w:val="99"/>
    <w:semiHidden/>
    <w:unhideWhenUsed/>
    <w:rsid w:val="00C711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8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26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66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E26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E26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66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E26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666"/>
    <w:pPr>
      <w:ind w:left="720"/>
      <w:contextualSpacing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partnersinhealth-my.sharepoint.com/personal/wcohen_pih_org/Documents/Documents/PIHDevOpsLetterhead%20apa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18610A3EABB4396DC54E10DB98C88" ma:contentTypeVersion="3" ma:contentTypeDescription="Create a new document." ma:contentTypeScope="" ma:versionID="fd49aa1c4068e23a2c7f526f15725396">
  <xsd:schema xmlns:xsd="http://www.w3.org/2001/XMLSchema" xmlns:xs="http://www.w3.org/2001/XMLSchema" xmlns:p="http://schemas.microsoft.com/office/2006/metadata/properties" xmlns:ns2="39b81e40-d16b-4b29-be2d-8d3f53da2515" targetNamespace="http://schemas.microsoft.com/office/2006/metadata/properties" ma:root="true" ma:fieldsID="9a9cb150e4394059a1c0dca11efdd8d4" ns2:_="">
    <xsd:import namespace="39b81e40-d16b-4b29-be2d-8d3f53da25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81e40-d16b-4b29-be2d-8d3f53da25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38A2CF-C7CE-4D7D-A01C-5DB204464AAE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39b81e40-d16b-4b29-be2d-8d3f53da2515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6022BB2-75EB-4CBE-9344-61C01A970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87AC9-2DB0-48C2-8C4A-B5558B0F8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81e40-d16b-4b29-be2d-8d3f53da2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F23A4E-2BAF-41FC-B157-316E476B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PIHDevOpsLetterhead%20apart.dotx</Template>
  <TotalTime>42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PIH_Letterhead_Orange_2015</vt:lpstr>
    </vt:vector>
  </TitlesOfParts>
  <Company>PIH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PIH_Letterhead_Orange_2015</dc:title>
  <dc:subject/>
  <dc:creator>Will Cohen</dc:creator>
  <cp:keywords/>
  <dc:description/>
  <cp:lastModifiedBy>Will Cohen</cp:lastModifiedBy>
  <cp:revision>5</cp:revision>
  <dcterms:created xsi:type="dcterms:W3CDTF">2016-08-31T16:25:00Z</dcterms:created>
  <dcterms:modified xsi:type="dcterms:W3CDTF">2016-08-31T18:11:00Z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0x01010078518610A3EABB4396DC54E10DB98C88</vt:lpwstr>
  </property>
  <property fmtid="{D5CDD505-2E9C-101B-9397-08002B2CF9AE}" pid="3" name="Content Language">
    <vt:lpwstr>1;#English|ac1d9d49-85e4-40fb-ad28-2bc8be528a5e</vt:lpwstr>
  </property>
  <property fmtid="{D5CDD505-2E9C-101B-9397-08002B2CF9AE}" pid="4" name="PIH Department">
    <vt:lpwstr>3;#Communications|367448b2-f38b-46d0-a5d5-a50b5615d236</vt:lpwstr>
  </property>
  <property fmtid="{D5CDD505-2E9C-101B-9397-08002B2CF9AE}" pid="5" name="TaxKeyword">
    <vt:lpwstr/>
  </property>
  <property fmtid="{D5CDD505-2E9C-101B-9397-08002B2CF9AE}" pid="6" name="Communications Document Category">
    <vt:lpwstr>42;#Stationery and Branded Resources|a94c3092-aa48-4291-9015-afc1ef6d199a</vt:lpwstr>
  </property>
  <property fmtid="{D5CDD505-2E9C-101B-9397-08002B2CF9AE}" pid="7" name="Country">
    <vt:lpwstr>2;#United States|cd6f17a8-6528-4e0c-9473-881b848a99c7</vt:lpwstr>
  </property>
</Properties>
</file>