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DD6B" w14:textId="77777777" w:rsidR="00F76965" w:rsidRDefault="00582B6A">
      <w:pPr>
        <w:spacing w:before="400" w:after="120" w:line="360" w:lineRule="auto"/>
        <w:jc w:val="center"/>
      </w:pPr>
      <w:r>
        <w:rPr>
          <w:rFonts w:ascii="Arial" w:eastAsia="Arial" w:hAnsi="Arial" w:cs="Arial"/>
          <w:b/>
          <w:bCs/>
          <w:color w:val="444444"/>
          <w:sz w:val="28"/>
          <w:szCs w:val="28"/>
        </w:rPr>
        <w:t>WORKING DRAFT</w:t>
      </w:r>
    </w:p>
    <w:p w14:paraId="1E69244B" w14:textId="77777777" w:rsidR="00F76965" w:rsidRDefault="00582B6A">
      <w:pPr>
        <w:spacing w:before="120" w:after="120" w:line="360" w:lineRule="auto"/>
        <w:jc w:val="center"/>
      </w:pPr>
      <w:r>
        <w:rPr>
          <w:rFonts w:ascii="Arial" w:eastAsia="Arial" w:hAnsi="Arial" w:cs="Arial"/>
          <w:color w:val="666666"/>
          <w:sz w:val="22"/>
          <w:szCs w:val="22"/>
        </w:rPr>
        <w:t>Section D+E: The Cycle and the Response</w:t>
      </w:r>
    </w:p>
    <w:p w14:paraId="42A22398" w14:textId="77777777" w:rsidR="00F76965" w:rsidRDefault="00582B6A">
      <w:pPr>
        <w:spacing w:before="120" w:after="300" w:line="360" w:lineRule="auto"/>
        <w:jc w:val="center"/>
      </w:pPr>
      <w:r>
        <w:rPr>
          <w:rFonts w:ascii="Arial" w:eastAsia="Arial" w:hAnsi="Arial" w:cs="Arial"/>
          <w:color w:val="888888"/>
          <w:sz w:val="20"/>
          <w:szCs w:val="20"/>
        </w:rPr>
        <w:t>Continues from Section C (Race as Proof of Concept)</w:t>
      </w:r>
    </w:p>
    <w:p w14:paraId="613C4998" w14:textId="77777777" w:rsidR="00F76965" w:rsidRDefault="00582B6A">
      <w:pPr>
        <w:pStyle w:val="Heading2"/>
        <w:spacing w:before="400" w:after="200" w:line="360" w:lineRule="auto"/>
      </w:pPr>
      <w:r>
        <w:rPr>
          <w:color w:val="000000"/>
        </w:rPr>
        <w:t>The Cycle and the Response</w:t>
      </w:r>
    </w:p>
    <w:p w14:paraId="60E04214" w14:textId="77777777" w:rsidR="00F76965" w:rsidRDefault="00582B6A">
      <w:pPr>
        <w:spacing w:before="300" w:after="120" w:line="360" w:lineRule="auto"/>
      </w:pPr>
      <w:r>
        <w:rPr>
          <w:b/>
          <w:bCs/>
          <w:i/>
          <w:iCs/>
          <w:color w:val="000000"/>
        </w:rPr>
        <w:t>The Root System</w:t>
      </w:r>
    </w:p>
    <w:p w14:paraId="1653EEC2" w14:textId="77777777" w:rsidR="00F76965" w:rsidRDefault="00582B6A">
      <w:pPr>
        <w:spacing w:before="120" w:after="120" w:line="360" w:lineRule="auto"/>
        <w:ind w:firstLine="720"/>
      </w:pPr>
      <w:r>
        <w:rPr>
          <w:color w:val="000000"/>
        </w:rPr>
        <w:t>None of this is new. Half a century before these pages were written, working with Brazilian peasants learning to read, Paulo Freire described the mechanism at the center of everything that has been argued so far.</w:t>
      </w:r>
    </w:p>
    <w:p w14:paraId="2CFB34C3" w14:textId="77777777" w:rsidR="00F76965" w:rsidRDefault="00582B6A">
      <w:pPr>
        <w:spacing w:before="120" w:after="120" w:line="360" w:lineRule="auto"/>
        <w:ind w:firstLine="720"/>
      </w:pPr>
      <w:r>
        <w:rPr>
          <w:color w:val="000000"/>
        </w:rPr>
        <w:t xml:space="preserve">Freire called it prescription. "Every prescription," he wrote, "represents the imposition of one individual’s choice upon another, transforming the consciousness of the person prescribed to into one that conforms with the prescriber’s consciousness" (Freire, 1970, p. 47). That is the spine of the argument above, stated in different language: </w:t>
      </w:r>
      <w:r>
        <w:rPr>
          <w:b/>
          <w:bCs/>
          <w:color w:val="000000"/>
        </w:rPr>
        <w:t>oppression is what happens when your reality is defined for you</w:t>
      </w:r>
      <w:r>
        <w:rPr>
          <w:color w:val="000000"/>
        </w:rPr>
        <w:t>. He saw the internalization: the oppressed "have internalized the image of the oppressor and adopted his guidelines" and exist as divided beings, "at one and the same time themselves and the oppressor whose consciousness they have internalized" (p. 47). He saw the horizontal violence that follows: the oppressed striking out at their own comrades, because "the oppressor exists within their oppressed comrades" and attacking them is an indirect way of attacking the oppressor within (p. 62). He saw the limit-situations: the boundaries of imposed reality that people accept as given until they perceive them as constructed, at which point what Freire calls the "untested feasibility" becomes visible (pp. 99–102). And he named the educational structure that reproduces the cycle: the banking model, in which teachers deposit information into passive students whose role is to "receive, file, and store the deposits" (p. 72).</w:t>
      </w:r>
    </w:p>
    <w:p w14:paraId="3C23DDBA" w14:textId="77777777" w:rsidR="00F76965" w:rsidRDefault="00582B6A">
      <w:pPr>
        <w:spacing w:before="120" w:after="120" w:line="360" w:lineRule="auto"/>
        <w:ind w:firstLine="720"/>
      </w:pPr>
      <w:commentRangeStart w:id="0"/>
      <w:r>
        <w:rPr>
          <w:color w:val="000000"/>
        </w:rPr>
        <w:t>Freire’s prescription is the spine</w:t>
      </w:r>
      <w:commentRangeEnd w:id="0"/>
      <w:r>
        <w:rPr>
          <w:rStyle w:val="CommentReference"/>
          <w:color w:val="000000"/>
          <w:sz w:val="24"/>
          <w:szCs w:val="24"/>
        </w:rPr>
        <w:commentReference w:id="0"/>
      </w:r>
      <w:r>
        <w:rPr>
          <w:color w:val="000000"/>
        </w:rPr>
        <w:t>. His internalization is internalized oppression. His horizontal violence is the cycle between externalized and interpersonal oppression. His limit-situations are overexplored identities. His untested feasibility is underexplored identity. His banking education is the content-first curriculum that American schooling has been running for 250 years. The root system is his.</w:t>
      </w:r>
    </w:p>
    <w:p w14:paraId="46FE0DF3"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lastRenderedPageBreak/>
        <w:t xml:space="preserve">NOTE: </w:t>
      </w:r>
      <w:r>
        <w:rPr>
          <w:rFonts w:ascii="Arial" w:eastAsia="Arial" w:hAnsi="Arial" w:cs="Arial"/>
          <w:i/>
          <w:iCs/>
          <w:color w:val="666666"/>
          <w:sz w:val="18"/>
          <w:szCs w:val="18"/>
        </w:rPr>
        <w:t>Comment 2 on the outline: you noted that Freire's line about knowledge as a gift "from those who consider themselves knowledgeable to those they consider ignorant" is almost impossible to disprove given the relational definitions. That observation is worth holding for Part 2, where it connects to your critique of assessment. The assessor always positions themselves as the knower and the student as the not-yet-knower. That's banking logic embedded in the evaluation structure.</w:t>
      </w:r>
    </w:p>
    <w:p w14:paraId="1B69F3E7" w14:textId="77777777" w:rsidR="00F76965" w:rsidRDefault="00582B6A">
      <w:pPr>
        <w:spacing w:before="300" w:after="120" w:line="360" w:lineRule="auto"/>
      </w:pPr>
      <w:r>
        <w:rPr>
          <w:b/>
          <w:bCs/>
          <w:i/>
          <w:iCs/>
          <w:color w:val="000000"/>
        </w:rPr>
        <w:t>Where the Root System Ends</w:t>
      </w:r>
    </w:p>
    <w:p w14:paraId="4ABEA97A" w14:textId="77777777" w:rsidR="00F76965" w:rsidRDefault="00582B6A">
      <w:pPr>
        <w:spacing w:before="120" w:after="120" w:line="360" w:lineRule="auto"/>
        <w:ind w:firstLine="720"/>
      </w:pPr>
      <w:commentRangeStart w:id="1"/>
      <w:r>
        <w:rPr>
          <w:color w:val="000000"/>
        </w:rPr>
        <w:t>Freire worked within a Marxist class framework in which the oppressor and oppressed occupy socioeconomic positions and the prescriber is always identifiable: the landowner, the colonizer, the ruling class. Liberation, for Freire, is collective and political, and the pedagogy is forged "with, not for, the oppressed" in their struggle to transform the concrete situation of domination. Everything in his analysis depends on the existence of a nameable oppressor and a definable class of oppressed people who can organize against that oppressor.</w:t>
      </w:r>
      <w:commentRangeEnd w:id="1"/>
      <w:r>
        <w:rPr>
          <w:rStyle w:val="CommentReference"/>
          <w:sz w:val="24"/>
          <w:szCs w:val="24"/>
        </w:rPr>
        <w:commentReference w:id="1"/>
      </w:r>
    </w:p>
    <w:p w14:paraId="0F788EE1" w14:textId="77777777" w:rsidR="00F76965" w:rsidRDefault="00582B6A">
      <w:pPr>
        <w:spacing w:before="120" w:after="120" w:line="360" w:lineRule="auto"/>
        <w:ind w:firstLine="720"/>
      </w:pPr>
      <w:r>
        <w:rPr>
          <w:color w:val="000000"/>
        </w:rPr>
        <w:t xml:space="preserve">The mechanism he described, however, does not require his framework to operate. A student who absorbs the belief that she is "not a math person" has had her cognitive reality defined for her without a class-based prescriber. The meaning arrived through accumulated cultural signals, teacher expectations, peer comparisons, and standardized test results. No single consciousness authored the imposition. It scaled through the same process Freire describes (prescription, internalization, reproduction) but without a colonial or class structure to locate the source. If the mechanism is real, it operates </w:t>
      </w:r>
      <w:commentRangeStart w:id="2"/>
      <w:r>
        <w:rPr>
          <w:color w:val="000000"/>
        </w:rPr>
        <w:t xml:space="preserve">everywhere that meaning </w:t>
      </w:r>
      <w:commentRangeEnd w:id="2"/>
      <w:r>
        <w:rPr>
          <w:rStyle w:val="CommentReference"/>
          <w:color w:val="000000"/>
          <w:sz w:val="24"/>
          <w:szCs w:val="24"/>
        </w:rPr>
        <w:commentReference w:id="2"/>
      </w:r>
      <w:r>
        <w:rPr>
          <w:color w:val="000000"/>
        </w:rPr>
        <w:t>is imposed, not only where an oppressor class can be named.</w:t>
      </w:r>
    </w:p>
    <w:p w14:paraId="1F0E1440" w14:textId="77777777" w:rsidR="00F76965" w:rsidRDefault="00582B6A">
      <w:pPr>
        <w:spacing w:before="120" w:after="120" w:line="360" w:lineRule="auto"/>
        <w:ind w:firstLine="720"/>
      </w:pPr>
      <w:r>
        <w:rPr>
          <w:color w:val="000000"/>
        </w:rPr>
        <w:t>Freire also described the cycle of internalization and horizontal violence without formalizing it as a system. He saw that the oppressed internalize the oppressor’s image. He saw that this internalization gets projected outward onto comrades. He saw that the projection reproduces the original imposition. But he did not name the three channels (internalized, externalized, interpersonal) as the exhaustive set of pathways through which cognitive oppression moves. Formalizing them makes the mechanism diagnosable across any context, not only class-based ones, and eventually addressable through specific practices designed to interrupt each channel.</w:t>
      </w:r>
    </w:p>
    <w:p w14:paraId="7A2B8BCD"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5-6: you asked whether to introduce the axiometrica calculus / ontological dictionary vocabulary here. Recommendation: not yet. A footnote can signal that the formal architecture exists and will be developed in Part 2. Part 1 has enough new terminology. Let the reader absorb the three compartments and the cycle before adding the endosphere and the outer lens.</w:t>
      </w:r>
    </w:p>
    <w:p w14:paraId="739F2C48" w14:textId="77777777" w:rsidR="00F76965" w:rsidRDefault="00582B6A">
      <w:pPr>
        <w:spacing w:before="120" w:after="120" w:line="360" w:lineRule="auto"/>
        <w:ind w:firstLine="720"/>
      </w:pPr>
      <w:r>
        <w:rPr>
          <w:color w:val="000000"/>
        </w:rPr>
        <w:lastRenderedPageBreak/>
        <w:t xml:space="preserve">The most important departure is not analytical but purposive. Freire’s project is collective political liberation through praxis, which he defines as the </w:t>
      </w:r>
      <w:commentRangeStart w:id="3"/>
      <w:r>
        <w:rPr>
          <w:color w:val="000000"/>
        </w:rPr>
        <w:t>inseparable unity of reflection and action on the world</w:t>
      </w:r>
      <w:commentRangeEnd w:id="3"/>
      <w:r>
        <w:rPr>
          <w:rStyle w:val="CommentReference"/>
          <w:color w:val="000000"/>
          <w:sz w:val="24"/>
          <w:szCs w:val="24"/>
        </w:rPr>
        <w:commentReference w:id="3"/>
      </w:r>
      <w:r>
        <w:rPr>
          <w:color w:val="000000"/>
        </w:rPr>
        <w:t>. For Freire, reflection without action is "verbalism" and action without reflection is "activism." Neither is authentic. He would ask of any metacognitive framework: where does the student act on the world? Where does internal examination become external transformation?</w:t>
      </w:r>
    </w:p>
    <w:p w14:paraId="3C72CD41" w14:textId="2F3D8B39" w:rsidR="00F76965" w:rsidRDefault="00582B6A">
      <w:pPr>
        <w:spacing w:before="120" w:after="120" w:line="360" w:lineRule="auto"/>
        <w:ind w:firstLine="720"/>
      </w:pPr>
      <w:r>
        <w:rPr>
          <w:color w:val="000000"/>
        </w:rPr>
        <w:t xml:space="preserve">The honest answer is that external transformation is not the purpose. The project is </w:t>
      </w:r>
      <w:commentRangeStart w:id="4"/>
      <w:r>
        <w:rPr>
          <w:i/>
          <w:iCs/>
          <w:color w:val="000000"/>
        </w:rPr>
        <w:t>self-emancipation from the self</w:t>
      </w:r>
      <w:commentRangeEnd w:id="4"/>
      <w:r>
        <w:rPr>
          <w:rStyle w:val="CommentReference"/>
          <w:color w:val="000000"/>
          <w:sz w:val="24"/>
          <w:szCs w:val="24"/>
        </w:rPr>
        <w:commentReference w:id="4"/>
      </w:r>
      <w:r>
        <w:rPr>
          <w:color w:val="000000"/>
        </w:rPr>
        <w:t xml:space="preserve">: the ongoing, never-finished work of examining the meanings imposed on your consciousness and making deliberate choices about which to keep, which to revise, and which to reject. A student who goes through this process and chooses to topple a fascist regime is no more successful than a classmate who goes through the same process and consciously chooses to remain a farmer. Both have examined the realities defined for them. Both have exercised cognitive sovereignty over their own thinking. The measure is not the </w:t>
      </w:r>
      <w:commentRangeStart w:id="5"/>
      <w:r>
        <w:rPr>
          <w:color w:val="000000"/>
        </w:rPr>
        <w:t xml:space="preserve">action; the </w:t>
      </w:r>
      <w:commentRangeEnd w:id="5"/>
      <w:r>
        <w:rPr>
          <w:rStyle w:val="CommentReference"/>
          <w:color w:val="000000"/>
          <w:sz w:val="24"/>
          <w:szCs w:val="24"/>
        </w:rPr>
        <w:commentReference w:id="5"/>
      </w:r>
      <w:r>
        <w:rPr>
          <w:color w:val="000000"/>
        </w:rPr>
        <w:t>measure is whether the consciousness behind the action is one that has been examined or one that was installed.</w:t>
      </w:r>
    </w:p>
    <w:p w14:paraId="1B38FD46" w14:textId="77777777" w:rsidR="00F76965" w:rsidRDefault="00582B6A">
      <w:pPr>
        <w:spacing w:before="120" w:after="120" w:line="360" w:lineRule="auto"/>
        <w:ind w:firstLine="720"/>
      </w:pPr>
      <w:r>
        <w:rPr>
          <w:color w:val="000000"/>
        </w:rPr>
        <w:t xml:space="preserve">Freire’s praxis is one form of examined engagement with the world. Conscious farming is another. Conscious artmaking is another. Conscious parenting is another. What they share is that the consciousness doing the farming, the art, or the parenting has examined the meanings imposed on it and made deliberate choices about which to keep, which to revise, and which to reject. </w:t>
      </w:r>
      <w:commentRangeStart w:id="6"/>
      <w:r>
        <w:rPr>
          <w:color w:val="000000"/>
        </w:rPr>
        <w:t>A contexture builds that capacity. What students do with it is their sovereignty.</w:t>
      </w:r>
      <w:commentRangeEnd w:id="6"/>
      <w:r>
        <w:rPr>
          <w:rStyle w:val="CommentReference"/>
          <w:sz w:val="24"/>
          <w:szCs w:val="24"/>
        </w:rPr>
        <w:commentReference w:id="6"/>
      </w:r>
    </w:p>
    <w:p w14:paraId="745924EB"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10 flagged 'what they share is that the consciousness doing the farming...' as the most important line in this section, worth stress testing. Stress test: what about a student who develops metacognitive capacity and uses it to become a more effective propagandist? They've examined their meanings and chosen to impose meanings on others. Answer: the framework names deliberate externalized oppression (conscious imposition of meaning after examination) as the one act that the habits are designed to make visible and resistible. The farmer, revolutionary, and artist are all fine because their sovereignty does not require imposing on another consciousness. The propagandist is the edge case where cognitive sovereignty has been achieved but directed toward constraining others' sovereignty. That is the one place where the framework makes a value judgment: cognitive sovereignty exercised to eliminate others' cognitive sovereignty is self-contradicting.</w:t>
      </w:r>
    </w:p>
    <w:p w14:paraId="1AEA37F2"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8: you noted that self-emancipation is not 'complete' but iterative. The map metaphor: you can never have a fully accurate map, only a more accurate one. Cognitive sovereignty is asymptotic. I've used 'ongoing, never-finished' in the prose and will add a footnote on 'sovereignty' as used here being a direction of movement, not a destination.</w:t>
      </w:r>
    </w:p>
    <w:p w14:paraId="2670FA09" w14:textId="77777777" w:rsidR="00F76965" w:rsidRDefault="00582B6A">
      <w:pPr>
        <w:spacing w:before="300" w:after="120" w:line="360" w:lineRule="auto"/>
      </w:pPr>
      <w:r>
        <w:rPr>
          <w:b/>
          <w:bCs/>
          <w:i/>
          <w:iCs/>
          <w:color w:val="000000"/>
        </w:rPr>
        <w:t>How It Moves</w:t>
      </w:r>
    </w:p>
    <w:p w14:paraId="5734EACF" w14:textId="77777777" w:rsidR="00F76965" w:rsidRDefault="00582B6A">
      <w:pPr>
        <w:spacing w:before="120" w:after="120" w:line="360" w:lineRule="auto"/>
        <w:ind w:firstLine="720"/>
      </w:pPr>
      <w:r>
        <w:rPr>
          <w:color w:val="000000"/>
        </w:rPr>
        <w:lastRenderedPageBreak/>
        <w:t>If cognitive oppression is a condition of consciousness in relation, then it must have mechanics. It must move through identifiable channels. And if it reproduces itself across generations, there must be a cycle. Freire described pieces of this cycle. What follows is an attempt to map the full loop.</w:t>
      </w:r>
    </w:p>
    <w:p w14:paraId="2420E23D" w14:textId="77777777" w:rsidR="00F76965" w:rsidRDefault="00582B6A">
      <w:pPr>
        <w:spacing w:before="120" w:after="120" w:line="360" w:lineRule="auto"/>
        <w:ind w:firstLine="720"/>
      </w:pPr>
      <w:r>
        <w:rPr>
          <w:color w:val="000000"/>
        </w:rPr>
        <w:t>The first stage is internalization. A consciousness absorbs imposed meanings without examining them. These may arrive from family, culture, media, schooling, or the accumulated residue of institutional history. The meanings settle into the cognitive architecture as though they are self-evident. Freire described this precisely: "So often do they hear that they are good for nothing, know nothing and are incapable of learning anything, that in the end they become convinced of their own unfitness" (p. 63). The student does not know she is carrying these meanings. They are not beliefs she holds. They are the lens through which she sees. Research in educational psychology confirms the reach of this process: internalized oppression is empirically linked to depression, anxiety, reduced self-esteem, and self-destructive behavior across multiple identity groups (David, 2013; David et al., 2019), and the mechanism operates across identity categories rather than within a single one (Mikuła et al., 2025).</w:t>
      </w:r>
    </w:p>
    <w:p w14:paraId="1C940C3D" w14:textId="77777777" w:rsidR="00F76965" w:rsidRDefault="00582B6A">
      <w:pPr>
        <w:spacing w:before="120" w:after="120" w:line="360" w:lineRule="auto"/>
        <w:ind w:firstLine="720"/>
      </w:pPr>
      <w:r>
        <w:rPr>
          <w:color w:val="000000"/>
        </w:rPr>
        <w:t xml:space="preserve">The second stage is externalization. The consciousness, now carrying unexamined meanings, projects them outward through communication, behavior, assumptions, and unconscious filtering. A teacher who has internalized low expectations for a particular group of students externalizes those expectations through the questions she asks, the patience she extends, the opportunities she provides. She may not be aware she is doing it. The externalization is filtered through her own biases and arrives in the world as a new act of meaning-imposition. </w:t>
      </w:r>
      <w:commentRangeStart w:id="7"/>
      <w:r>
        <w:rPr>
          <w:color w:val="000000"/>
        </w:rPr>
        <w:t>This is Freire’s "horizontal violence" generalized: not only the oppressed striking their comrades, but any consciousness projecting its unexamined constraints onto another. The direction is not fixed. A student who rolls her eyes, falls asleep, or raises her hand with performative eagerness is externalizing imposed meanings upward toward the teacher just as the teacher externalizes downward toward the student. The cycle does not respect hierarchy.</w:t>
      </w:r>
      <w:commentRangeEnd w:id="7"/>
      <w:r>
        <w:rPr>
          <w:rStyle w:val="CommentReference"/>
          <w:sz w:val="24"/>
          <w:szCs w:val="24"/>
        </w:rPr>
        <w:commentReference w:id="7"/>
      </w:r>
    </w:p>
    <w:p w14:paraId="76A63DF9" w14:textId="233D33F3" w:rsidR="00F76965" w:rsidRDefault="00582B6A">
      <w:pPr>
        <w:spacing w:before="120" w:after="120" w:line="360" w:lineRule="auto"/>
        <w:ind w:firstLine="720"/>
      </w:pPr>
      <w:r>
        <w:rPr>
          <w:color w:val="000000"/>
        </w:rPr>
        <w:t xml:space="preserve">The third stage is institutional accumulation. When enough consciousnesses externalize the same imposed meanings, those meanings harden into structures. Policies, laws, norms, curricula, assessment systems, hiring practices. The structure persists independently of any single consciousness. A useful illustration comes from behavioral research. </w:t>
      </w:r>
      <w:commentRangeStart w:id="8"/>
      <w:r>
        <w:rPr>
          <w:color w:val="000000"/>
        </w:rPr>
        <w:t xml:space="preserve">In an experiment frequently </w:t>
      </w:r>
      <w:r>
        <w:rPr>
          <w:color w:val="000000"/>
        </w:rPr>
        <w:lastRenderedPageBreak/>
        <w:t>cited in organizational psychology</w:t>
      </w:r>
      <w:commentRangeEnd w:id="8"/>
      <w:r>
        <w:rPr>
          <w:rStyle w:val="CommentReference"/>
          <w:color w:val="000000"/>
          <w:sz w:val="24"/>
          <w:szCs w:val="24"/>
        </w:rPr>
        <w:commentReference w:id="8"/>
      </w:r>
      <w:r>
        <w:rPr>
          <w:color w:val="000000"/>
        </w:rPr>
        <w:t xml:space="preserve">, primates in a group were conditioned to avoid reaching for food by punishing the entire group whenever one individual tried. When every original member had been replaced, the new members continued to prevent each other from reaching for the food, though none of them had ever experienced the </w:t>
      </w:r>
      <w:commentRangeStart w:id="9"/>
      <w:r>
        <w:rPr>
          <w:color w:val="000000"/>
        </w:rPr>
        <w:t xml:space="preserve">outside </w:t>
      </w:r>
      <w:commentRangeEnd w:id="9"/>
      <w:r>
        <w:rPr>
          <w:rStyle w:val="CommentReference"/>
          <w:color w:val="000000"/>
          <w:sz w:val="24"/>
          <w:szCs w:val="24"/>
        </w:rPr>
        <w:commentReference w:id="9"/>
      </w:r>
      <w:r>
        <w:rPr>
          <w:color w:val="000000"/>
        </w:rPr>
        <w:t>punishment. The behavior had become institutional. No living consciousness carried the original reason. The imposed meaning sustained itself.</w:t>
      </w:r>
    </w:p>
    <w:p w14:paraId="62A4740A"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15-17: the monkey/ladder study. I've included it here in Stage 3 as an illustration of institutional accumulation without requiring a living author. The parallel to human institutions (redlining, content-first curriculum, heteronormative assumptions) is structural. The redlining map from 1935 still shaping neighborhood wealth in 2026 operates through the same mechanism at greater complexity.</w:t>
      </w:r>
    </w:p>
    <w:p w14:paraId="5A0483C4" w14:textId="77777777" w:rsidR="00F76965" w:rsidRDefault="00582B6A">
      <w:pPr>
        <w:spacing w:before="120" w:after="120" w:line="360" w:lineRule="auto"/>
        <w:ind w:firstLine="720"/>
      </w:pPr>
      <w:r>
        <w:rPr>
          <w:color w:val="000000"/>
        </w:rPr>
        <w:t>The fourth stage is interpersonal re-entry. The institutional structure, now operating on its own momentum, imposes meaning on new consciousnesses. A child enters a school built on content-first assumptions, sorted by age-graded cohorts, assessed through standardized instruments. The school’s structure carries the accumulated cognitive constraints of every consciousness that built it. Those constraints enter the child as interpersonal oppression: other people’s externalized meanings, scaled through institutions, arriving as the new child’s internalized reality. The cycle restarts.</w:t>
      </w:r>
    </w:p>
    <w:p w14:paraId="7A3FD1C3" w14:textId="77777777" w:rsidR="00F76965" w:rsidRDefault="00582B6A">
      <w:pPr>
        <w:spacing w:before="120" w:after="120" w:line="360" w:lineRule="auto"/>
        <w:ind w:firstLine="720"/>
      </w:pPr>
      <w:commentRangeStart w:id="10"/>
      <w:r>
        <w:rPr>
          <w:color w:val="000000"/>
        </w:rPr>
        <w:t xml:space="preserve">These stages are analytical, not sequential. </w:t>
      </w:r>
      <w:commentRangeEnd w:id="10"/>
      <w:r>
        <w:rPr>
          <w:rStyle w:val="CommentReference"/>
          <w:color w:val="000000"/>
          <w:sz w:val="24"/>
          <w:szCs w:val="24"/>
        </w:rPr>
        <w:commentReference w:id="10"/>
      </w:r>
      <w:r>
        <w:rPr>
          <w:color w:val="000000"/>
        </w:rPr>
        <w:t>At any given moment, infinite cycles operate at every stage simultaneously, each offset, each at a different scale. The numbering clarifies the mechanism. It does not prescribe an order.</w:t>
      </w:r>
    </w:p>
    <w:p w14:paraId="7D5F24B1" w14:textId="77777777" w:rsidR="00F76965" w:rsidRDefault="00582B6A">
      <w:pPr>
        <w:spacing w:before="120" w:after="120" w:line="360" w:lineRule="auto"/>
        <w:ind w:firstLine="720"/>
      </w:pPr>
      <w:r>
        <w:rPr>
          <w:color w:val="000000"/>
        </w:rPr>
        <w:t>What the cycle reveals is how a single person’s private cognitive constraint becomes Jim Crow across centuries, and also how a single teacher’s unexamined assumption about "math people" becomes a student’s unexamined belief about herself across a single school year. The mechanism does not change. The scale does.</w:t>
      </w:r>
    </w:p>
    <w:p w14:paraId="460F8812" w14:textId="77777777" w:rsidR="00F76965" w:rsidRDefault="00582B6A">
      <w:pPr>
        <w:pBdr>
          <w:left w:val="single" w:sz="6" w:space="8" w:color="7F77DD"/>
        </w:pBdr>
        <w:spacing w:before="80" w:after="80" w:line="276" w:lineRule="auto"/>
        <w:ind w:left="720"/>
      </w:pPr>
      <w:commentRangeStart w:id="11"/>
      <w:r>
        <w:rPr>
          <w:rFonts w:ascii="Arial" w:eastAsia="Arial" w:hAnsi="Arial" w:cs="Arial"/>
          <w:b/>
          <w:bCs/>
          <w:color w:val="7F77DD"/>
          <w:sz w:val="18"/>
          <w:szCs w:val="18"/>
        </w:rPr>
        <w:t xml:space="preserve">NOTE: </w:t>
      </w:r>
      <w:r>
        <w:rPr>
          <w:rFonts w:ascii="Arial" w:eastAsia="Arial" w:hAnsi="Arial" w:cs="Arial"/>
          <w:i/>
          <w:iCs/>
          <w:color w:val="666666"/>
          <w:sz w:val="18"/>
          <w:szCs w:val="18"/>
        </w:rPr>
        <w:t>Research note for citations: Steele &amp; Aronson (1995) on stereotype threat is the empirical demonstration of Stage 4 (interpersonal re-entry). The awareness that a stereotype exists degrades cognitive performance even when the person does not believe the stereotype. That is institutional meaning entering an individual consciousness in real time. Gutierrez de Blume (2023) found that metacognitive awareness predicted decreases in implicit bias, which is empirical evidence that metacognition interrupts the cycle at Stage 2 (externalization). Both should be cited in the final version.</w:t>
      </w:r>
      <w:commentRangeEnd w:id="11"/>
      <w:r>
        <w:rPr>
          <w:rStyle w:val="CommentReference"/>
          <w:sz w:val="24"/>
          <w:szCs w:val="24"/>
        </w:rPr>
        <w:commentReference w:id="11"/>
      </w:r>
    </w:p>
    <w:p w14:paraId="5CE3F86C" w14:textId="77777777" w:rsidR="00F76965" w:rsidRDefault="00582B6A">
      <w:pPr>
        <w:spacing w:before="300" w:after="120" w:line="360" w:lineRule="auto"/>
      </w:pPr>
      <w:r>
        <w:rPr>
          <w:b/>
          <w:bCs/>
          <w:i/>
          <w:iCs/>
          <w:color w:val="000000"/>
        </w:rPr>
        <w:t>Where to Intervene</w:t>
      </w:r>
    </w:p>
    <w:p w14:paraId="30BE37EE" w14:textId="77777777" w:rsidR="00F76965" w:rsidRDefault="00582B6A">
      <w:pPr>
        <w:spacing w:before="120" w:after="120" w:line="360" w:lineRule="auto"/>
        <w:ind w:firstLine="720"/>
      </w:pPr>
      <w:r>
        <w:rPr>
          <w:color w:val="000000"/>
        </w:rPr>
        <w:lastRenderedPageBreak/>
        <w:t>The cycle is self-sustaining. Without intervention, it reproduces itself. Each generation inherits the imposed meanings of the last, externalizes them, and passes them to the next. The question is where to break in.</w:t>
      </w:r>
    </w:p>
    <w:p w14:paraId="0C746022" w14:textId="77777777" w:rsidR="00F76965" w:rsidRDefault="00582B6A">
      <w:pPr>
        <w:spacing w:before="120" w:after="120" w:line="360" w:lineRule="auto"/>
        <w:ind w:firstLine="720"/>
      </w:pPr>
      <w:r>
        <w:rPr>
          <w:color w:val="000000"/>
        </w:rPr>
        <w:t>Political intervention targets Stage 3. Pass a law. Change a policy. Restructure a system. Jim Crow did not end through metacognition. It ended through legislation, protest, legal challenge, and political organization. Anti-racist pedagogy, civil rights advocacy, disability rights movements: all of these target the institutional stage of the cycle, and all of them have produced real, material, life-altering results. Nothing in the argument above diminishes that work.</w:t>
      </w:r>
    </w:p>
    <w:p w14:paraId="6798B471" w14:textId="77777777" w:rsidR="00F76965" w:rsidRDefault="00582B6A">
      <w:pPr>
        <w:spacing w:before="120" w:after="120" w:line="360" w:lineRule="auto"/>
        <w:ind w:firstLine="720"/>
      </w:pPr>
      <w:r>
        <w:rPr>
          <w:color w:val="000000"/>
        </w:rPr>
        <w:t>But political intervention alone is structurally incomplete. A law can end segregation. It cannot end the cognitive constraints that produced segregation in the first place. Those constraints persist inside individual consciousnesses, continuing to externalize through interpersonal channels, continuing to accumulate in new institutional forms. The cycle repairs itself unless it is also interrupted at the level of the individual.</w:t>
      </w:r>
    </w:p>
    <w:p w14:paraId="684F46D0" w14:textId="77777777" w:rsidR="00F76965" w:rsidRDefault="00582B6A">
      <w:pPr>
        <w:spacing w:before="120" w:after="120" w:line="360" w:lineRule="auto"/>
        <w:ind w:firstLine="720"/>
      </w:pPr>
      <w:r>
        <w:rPr>
          <w:color w:val="000000"/>
        </w:rPr>
        <w:t xml:space="preserve">Metacognitive intervention targets Stages 1 and 2. </w:t>
      </w:r>
      <w:commentRangeStart w:id="12"/>
      <w:r>
        <w:rPr>
          <w:color w:val="000000"/>
        </w:rPr>
        <w:t>It gives a consciousness the tools to detect the imposed meanings it carries, to examine where those meanings came from and how they filter communication, to model how other consciousnesses carry different imposed meanings, and to construct new meanings through deliberate synthesis rather than unconscious inheritance.</w:t>
      </w:r>
      <w:r>
        <w:rPr>
          <w:color w:val="000000"/>
          <w:vertAlign w:val="superscript"/>
        </w:rPr>
        <w:t>*</w:t>
      </w:r>
      <w:r>
        <w:rPr>
          <w:color w:val="000000"/>
        </w:rPr>
        <w:t xml:space="preserve"> </w:t>
      </w:r>
      <w:commentRangeEnd w:id="12"/>
      <w:r>
        <w:rPr>
          <w:rStyle w:val="CommentReference"/>
          <w:color w:val="000000"/>
          <w:sz w:val="24"/>
          <w:szCs w:val="24"/>
        </w:rPr>
        <w:commentReference w:id="12"/>
      </w:r>
      <w:r>
        <w:rPr>
          <w:color w:val="000000"/>
        </w:rPr>
        <w:t>It does not eliminate oppression. It gives the individual agency within it.</w:t>
      </w:r>
    </w:p>
    <w:p w14:paraId="445C8BC1"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Comment 20-21: you noted that the metacognitive habits need introduction here, even if brief. The sentence above gestures at endospection (detecting imposed meanings), refraction (examining how they filter communication), exospection (modeling other consciousnesses), and synthesis (constructing new meanings). These are introduced functionally, not by name. </w:t>
      </w:r>
      <w:commentRangeStart w:id="13"/>
      <w:r>
        <w:rPr>
          <w:rFonts w:ascii="Arial" w:eastAsia="Arial" w:hAnsi="Arial" w:cs="Arial"/>
          <w:i/>
          <w:iCs/>
          <w:color w:val="666666"/>
          <w:sz w:val="18"/>
          <w:szCs w:val="18"/>
        </w:rPr>
        <w:t xml:space="preserve">A footnote (*) can list the formal terms: "These capacities correspond to the six metacognitive habits developed in Part 2: endospection, omnipere, constellare, refraction, exospection, and synthesis." </w:t>
      </w:r>
      <w:commentRangeEnd w:id="13"/>
      <w:r>
        <w:rPr>
          <w:rStyle w:val="CommentReference"/>
          <w:rFonts w:ascii="Arial" w:eastAsia="Arial" w:hAnsi="Arial" w:cs="Arial"/>
          <w:i/>
          <w:iCs/>
          <w:color w:val="666666"/>
          <w:sz w:val="18"/>
          <w:szCs w:val="18"/>
        </w:rPr>
        <w:commentReference w:id="13"/>
      </w:r>
      <w:r>
        <w:rPr>
          <w:rFonts w:ascii="Arial" w:eastAsia="Arial" w:hAnsi="Arial" w:cs="Arial"/>
          <w:i/>
          <w:iCs/>
          <w:color w:val="666666"/>
          <w:sz w:val="18"/>
          <w:szCs w:val="18"/>
        </w:rPr>
        <w:t>This gives the reader a preview without requiring them to absorb the vocabulary yet.</w:t>
      </w:r>
    </w:p>
    <w:p w14:paraId="2D6A3E0F" w14:textId="77777777" w:rsidR="00F76965" w:rsidRDefault="00582B6A">
      <w:pPr>
        <w:spacing w:before="120" w:after="120" w:line="360" w:lineRule="auto"/>
        <w:ind w:firstLine="720"/>
      </w:pPr>
      <w:r>
        <w:rPr>
          <w:color w:val="000000"/>
        </w:rPr>
        <w:t>Everyone is swimming in an ocean of imposed meaning. The ocean is infinite. Anti-racist pedagogy swims against one current. Disability advocacy swims against another. Class-based organizing swims against another. Each is necessary. Each addresses a specific scaled imposition. Metacognition does not swim against any particular current. Metacognition is learning how to swim.</w:t>
      </w:r>
    </w:p>
    <w:p w14:paraId="5FDBA235" w14:textId="1EC8A7AE" w:rsidR="00F76965" w:rsidRDefault="00582B6A">
      <w:pPr>
        <w:spacing w:before="120" w:after="120" w:line="360" w:lineRule="auto"/>
        <w:ind w:firstLine="720"/>
      </w:pPr>
      <w:r>
        <w:rPr>
          <w:color w:val="000000"/>
        </w:rPr>
        <w:lastRenderedPageBreak/>
        <w:t xml:space="preserve">No one escapes the ocean. A consciousness that knows it is in a current, knows the current’s direction, and can make deliberate choices about when to swim with it, against it, or across it </w:t>
      </w:r>
      <w:commentRangeStart w:id="14"/>
      <w:r>
        <w:rPr>
          <w:color w:val="000000"/>
        </w:rPr>
        <w:t xml:space="preserve">still </w:t>
      </w:r>
      <w:commentRangeEnd w:id="14"/>
      <w:r>
        <w:rPr>
          <w:rStyle w:val="CommentReference"/>
          <w:color w:val="000000"/>
          <w:sz w:val="24"/>
          <w:szCs w:val="24"/>
        </w:rPr>
        <w:commentReference w:id="14"/>
      </w:r>
      <w:r>
        <w:rPr>
          <w:color w:val="000000"/>
        </w:rPr>
        <w:t xml:space="preserve">has not achieved total sovereignty over its reality, and never will. Total sovereignty would require omniscience. What it has achieved is something more modest and more durable: </w:t>
      </w:r>
      <w:commentRangeStart w:id="15"/>
      <w:r>
        <w:rPr>
          <w:color w:val="000000"/>
        </w:rPr>
        <w:t>the capacity to see the current as a current rather than as the way water moves</w:t>
      </w:r>
      <w:commentRangeEnd w:id="15"/>
      <w:r>
        <w:rPr>
          <w:rStyle w:val="CommentReference"/>
          <w:color w:val="000000"/>
          <w:sz w:val="24"/>
          <w:szCs w:val="24"/>
        </w:rPr>
        <w:commentReference w:id="15"/>
      </w:r>
      <w:r>
        <w:rPr>
          <w:color w:val="000000"/>
        </w:rPr>
        <w:t>. That capacity is ongoing. It does not arrive and stay. It is practiced, lost, recovered, refined, and practiced again. It is more like fitness than like a diploma.</w:t>
      </w:r>
    </w:p>
    <w:p w14:paraId="07EAC684" w14:textId="77777777" w:rsidR="00F76965" w:rsidRDefault="00582B6A">
      <w:pPr>
        <w:spacing w:before="120" w:after="120" w:line="360" w:lineRule="auto"/>
        <w:ind w:firstLine="720"/>
      </w:pPr>
      <w:r>
        <w:rPr>
          <w:color w:val="000000"/>
        </w:rPr>
        <w:t>Douglass could not vote, could not hold office, could not walk into a white church. But his metacognitive capacity gave him the internal freedom to think beyond his material circumstances. That is what made him Douglass rather than one of the informants who betrayed Gabriel. Both were inside the same current. One was swimming.</w:t>
      </w:r>
    </w:p>
    <w:p w14:paraId="54CE61B6" w14:textId="77777777" w:rsidR="00F76965" w:rsidRDefault="00582B6A">
      <w:pPr>
        <w:spacing w:before="300" w:after="120" w:line="360" w:lineRule="auto"/>
      </w:pPr>
      <w:r>
        <w:rPr>
          <w:b/>
          <w:bCs/>
          <w:i/>
          <w:iCs/>
          <w:color w:val="000000"/>
        </w:rPr>
        <w:t>What Success Looks Like</w:t>
      </w:r>
    </w:p>
    <w:p w14:paraId="0C875FF5" w14:textId="77777777" w:rsidR="00F76965" w:rsidRDefault="00582B6A">
      <w:pPr>
        <w:spacing w:before="120" w:after="120" w:line="360" w:lineRule="auto"/>
        <w:ind w:firstLine="720"/>
      </w:pPr>
      <w:r>
        <w:rPr>
          <w:color w:val="000000"/>
        </w:rPr>
        <w:t xml:space="preserve">For Freire, success is collective liberation: the transformation of the concrete situation of oppression through praxis. For a cognitive framework, success is different. A student who develops the capacity to examine the meanings imposed on </w:t>
      </w:r>
      <w:commentRangeStart w:id="16"/>
      <w:r>
        <w:rPr>
          <w:color w:val="000000"/>
        </w:rPr>
        <w:t xml:space="preserve">her </w:t>
      </w:r>
      <w:commentRangeEnd w:id="16"/>
      <w:r>
        <w:rPr>
          <w:rStyle w:val="CommentReference"/>
          <w:color w:val="000000"/>
          <w:sz w:val="24"/>
          <w:szCs w:val="24"/>
        </w:rPr>
        <w:commentReference w:id="16"/>
      </w:r>
      <w:r>
        <w:rPr>
          <w:color w:val="000000"/>
        </w:rPr>
        <w:t>and joins a revolution has succeeded. A student who develops the same capacity and consciously chooses to farm has equally succeeded. A student who develops the same capacity and decides, after examination, that the values she inherited are the values she endorses has also succeeded. The measure is not the content of the choice. The measure is whether the choice was examined.</w:t>
      </w:r>
    </w:p>
    <w:p w14:paraId="4078EF81" w14:textId="77777777" w:rsidR="00F76965" w:rsidRDefault="00582B6A">
      <w:pPr>
        <w:spacing w:before="120" w:after="120" w:line="360" w:lineRule="auto"/>
        <w:ind w:firstLine="720"/>
      </w:pPr>
      <w:r>
        <w:rPr>
          <w:color w:val="000000"/>
        </w:rPr>
        <w:t xml:space="preserve">This is not relativism. It is not a claim that all choices are equally good. </w:t>
      </w:r>
      <w:commentRangeStart w:id="17"/>
      <w:r>
        <w:rPr>
          <w:color w:val="000000"/>
        </w:rPr>
        <w:t>It is a claim that the cognitive capacity to examine one’s choices is a prerequisite for any choice being authentically one’s own</w:t>
      </w:r>
      <w:commentRangeEnd w:id="17"/>
      <w:r>
        <w:rPr>
          <w:rStyle w:val="CommentReference"/>
          <w:color w:val="000000"/>
          <w:sz w:val="24"/>
          <w:szCs w:val="24"/>
        </w:rPr>
        <w:commentReference w:id="17"/>
      </w:r>
      <w:r>
        <w:rPr>
          <w:color w:val="000000"/>
        </w:rPr>
        <w:t>. A contexture cannot determine what students will value</w:t>
      </w:r>
      <w:commentRangeStart w:id="18"/>
      <w:r>
        <w:rPr>
          <w:color w:val="000000"/>
        </w:rPr>
        <w:t>. It should not try</w:t>
      </w:r>
      <w:commentRangeEnd w:id="18"/>
      <w:r>
        <w:rPr>
          <w:rStyle w:val="CommentReference"/>
          <w:color w:val="000000"/>
          <w:sz w:val="24"/>
          <w:szCs w:val="24"/>
        </w:rPr>
        <w:commentReference w:id="18"/>
      </w:r>
      <w:r>
        <w:rPr>
          <w:color w:val="000000"/>
        </w:rPr>
        <w:t>. But it can determine whether students have the tools to examine what they value and why. That is the scope of what schools can do. That is the boundary of the project.</w:t>
      </w:r>
    </w:p>
    <w:p w14:paraId="7A88F5DC"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Comment 26: you flagged 'but it can determine whether students have the tools to examine what they value' for stress testing. The stress test: how do you assess this? How do you know the tools are working versus a student performing examination for a grade? </w:t>
      </w:r>
      <w:commentRangeStart w:id="19"/>
      <w:commentRangeStart w:id="20"/>
      <w:r>
        <w:rPr>
          <w:rFonts w:ascii="Arial" w:eastAsia="Arial" w:hAnsi="Arial" w:cs="Arial"/>
          <w:i/>
          <w:iCs/>
          <w:color w:val="666666"/>
          <w:sz w:val="18"/>
          <w:szCs w:val="18"/>
        </w:rPr>
        <w:t xml:space="preserve">This is the central assessment problem of Part 2. </w:t>
      </w:r>
      <w:commentRangeEnd w:id="19"/>
      <w:r>
        <w:rPr>
          <w:rStyle w:val="CommentReference"/>
          <w:rFonts w:ascii="Arial" w:eastAsia="Arial" w:hAnsi="Arial" w:cs="Arial"/>
          <w:i/>
          <w:iCs/>
          <w:color w:val="666666"/>
          <w:sz w:val="18"/>
          <w:szCs w:val="18"/>
        </w:rPr>
        <w:commentReference w:id="19"/>
      </w:r>
      <w:commentRangeEnd w:id="20"/>
      <w:r>
        <w:rPr>
          <w:rStyle w:val="CommentReference"/>
          <w:rFonts w:ascii="Arial" w:eastAsia="Arial" w:hAnsi="Arial" w:cs="Arial"/>
          <w:i/>
          <w:iCs/>
          <w:color w:val="666666"/>
          <w:sz w:val="18"/>
          <w:szCs w:val="18"/>
        </w:rPr>
        <w:commentReference w:id="20"/>
      </w:r>
      <w:r>
        <w:rPr>
          <w:rFonts w:ascii="Arial" w:eastAsia="Arial" w:hAnsi="Arial" w:cs="Arial"/>
          <w:i/>
          <w:iCs/>
          <w:color w:val="666666"/>
          <w:sz w:val="18"/>
          <w:szCs w:val="18"/>
        </w:rPr>
        <w:t>In Part 1, the claim is defensible philosophically: a contexture can build the conditions for examination. Whether it does in any given case is an empirical question that Part 2's assessment architecture must address. The claim here is about capacity, not verification.</w:t>
      </w:r>
    </w:p>
    <w:p w14:paraId="734CFC7E"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27-28: I've used 'contexture' instead of 'curriculum' in this subsection. You noted that calling it a curriculum dilutes the differentiation and risks it being absorbed as just another framework. Contexture signals the change of scope.</w:t>
      </w:r>
    </w:p>
    <w:p w14:paraId="6B7F6C7A" w14:textId="77777777" w:rsidR="00F76965" w:rsidRDefault="00582B6A">
      <w:pPr>
        <w:spacing w:before="120" w:after="120" w:line="360" w:lineRule="auto"/>
        <w:ind w:firstLine="720"/>
      </w:pPr>
      <w:r>
        <w:rPr>
          <w:color w:val="000000"/>
        </w:rPr>
        <w:lastRenderedPageBreak/>
        <w:t>A system oriented around content coverage produces students who have absorbed meanings. A system oriented around metacognitive cogniscience produces students who can examine meanings. The first system is what American schools have been doing for 250 years. The second is what the remainder of this argument describes.</w:t>
      </w:r>
    </w:p>
    <w:p w14:paraId="12716428" w14:textId="77777777" w:rsidR="00F76965" w:rsidRDefault="00582B6A">
      <w:pPr>
        <w:spacing w:before="200" w:after="120" w:line="360" w:lineRule="auto"/>
      </w:pPr>
      <w:r>
        <w:rPr>
          <w:color w:val="000000"/>
          <w:sz w:val="12"/>
          <w:szCs w:val="12"/>
        </w:rPr>
        <w:t> </w:t>
      </w:r>
    </w:p>
    <w:p w14:paraId="231C124C" w14:textId="77777777" w:rsidR="00F76965" w:rsidRDefault="00582B6A">
      <w:pPr>
        <w:spacing w:before="300" w:after="300" w:line="360" w:lineRule="auto"/>
        <w:ind w:firstLine="720"/>
      </w:pPr>
      <w:r>
        <w:rPr>
          <w:color w:val="000000"/>
        </w:rPr>
        <w:t>Metacognition is not natural. It is not easy. And it is not taught.</w:t>
      </w:r>
    </w:p>
    <w:p w14:paraId="06F6B731"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Comment 31: you asked whether metacognition can be taught or only practiced. The word 'taught' here carries a deliberate double meaning. In the banking sense (deposited, transmitted, delivered), metacognition cannot be taught. In the broader sense (the conditions for its practice are created by schools), it is not being taught because the conditions do not exist. The ambiguity is productive. 'Taught' lands harder rhetorically than 'practiced.' The reader hears both meanings. If pushed, the distinction can be developed in Part 2's opening.</w:t>
      </w:r>
    </w:p>
    <w:p w14:paraId="41DE9483" w14:textId="77777777" w:rsidR="00F76965" w:rsidRDefault="00582B6A">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end of Part 1. Part 2 opens with: what would it look like if it were?</w:t>
      </w:r>
    </w:p>
    <w:p w14:paraId="12F44AE5" w14:textId="77777777" w:rsidR="00F76965" w:rsidRDefault="00582B6A">
      <w:r>
        <w:br w:type="page"/>
      </w:r>
    </w:p>
    <w:p w14:paraId="40E9FCD9" w14:textId="77777777" w:rsidR="00F76965" w:rsidRDefault="00582B6A">
      <w:pPr>
        <w:spacing w:before="200" w:after="120" w:line="360" w:lineRule="auto"/>
      </w:pPr>
      <w:r>
        <w:rPr>
          <w:rFonts w:ascii="Arial" w:eastAsia="Arial" w:hAnsi="Arial" w:cs="Arial"/>
          <w:b/>
          <w:bCs/>
          <w:color w:val="444444"/>
        </w:rPr>
        <w:lastRenderedPageBreak/>
        <w:t>SECTION SUMMARY</w:t>
      </w:r>
    </w:p>
    <w:p w14:paraId="6B95D983" w14:textId="77777777" w:rsidR="00F76965" w:rsidRDefault="00582B6A">
      <w:pPr>
        <w:spacing w:before="100" w:after="120" w:line="360" w:lineRule="auto"/>
      </w:pPr>
      <w:r>
        <w:rPr>
          <w:rFonts w:ascii="Arial" w:eastAsia="Arial" w:hAnsi="Arial" w:cs="Arial"/>
          <w:color w:val="666666"/>
          <w:sz w:val="20"/>
          <w:szCs w:val="20"/>
        </w:rPr>
        <w:t>Approximate paragraph count: 24 paragraphs of prose across 6 subsections.</w:t>
      </w:r>
    </w:p>
    <w:p w14:paraId="6EC657C5" w14:textId="77777777" w:rsidR="00F76965" w:rsidRDefault="00582B6A">
      <w:pPr>
        <w:spacing w:before="60" w:after="120" w:line="360" w:lineRule="auto"/>
        <w:ind w:left="360"/>
      </w:pPr>
      <w:r>
        <w:rPr>
          <w:rFonts w:ascii="Arial" w:eastAsia="Arial" w:hAnsi="Arial" w:cs="Arial"/>
          <w:color w:val="666666"/>
          <w:sz w:val="20"/>
          <w:szCs w:val="20"/>
        </w:rPr>
        <w:t>D+E.1 (The Root System): 3 paragraphs. Rapid Freire mapping.</w:t>
      </w:r>
    </w:p>
    <w:p w14:paraId="4A221109" w14:textId="77777777" w:rsidR="00F76965" w:rsidRDefault="00582B6A">
      <w:pPr>
        <w:spacing w:before="60" w:after="120" w:line="360" w:lineRule="auto"/>
        <w:ind w:left="360"/>
      </w:pPr>
      <w:r>
        <w:rPr>
          <w:rFonts w:ascii="Arial" w:eastAsia="Arial" w:hAnsi="Arial" w:cs="Arial"/>
          <w:color w:val="666666"/>
          <w:sz w:val="20"/>
          <w:szCs w:val="20"/>
        </w:rPr>
        <w:t>D+E.2 (Where the Root System Ends): 6 paragraphs. Three extensions + praxis departure.</w:t>
      </w:r>
    </w:p>
    <w:p w14:paraId="17F45279" w14:textId="77777777" w:rsidR="00F76965" w:rsidRDefault="00582B6A">
      <w:pPr>
        <w:spacing w:before="60" w:after="120" w:line="360" w:lineRule="auto"/>
        <w:ind w:left="360"/>
      </w:pPr>
      <w:r>
        <w:rPr>
          <w:rFonts w:ascii="Arial" w:eastAsia="Arial" w:hAnsi="Arial" w:cs="Arial"/>
          <w:color w:val="666666"/>
          <w:sz w:val="20"/>
          <w:szCs w:val="20"/>
        </w:rPr>
        <w:t>D+E.3 (How It Moves): 7 paragraphs. Four stages + analytical-not-sequential note + closing.</w:t>
      </w:r>
    </w:p>
    <w:p w14:paraId="130CBB62" w14:textId="77777777" w:rsidR="00F76965" w:rsidRDefault="00582B6A">
      <w:pPr>
        <w:spacing w:before="60" w:after="120" w:line="360" w:lineRule="auto"/>
        <w:ind w:left="360"/>
      </w:pPr>
      <w:r>
        <w:rPr>
          <w:rFonts w:ascii="Arial" w:eastAsia="Arial" w:hAnsi="Arial" w:cs="Arial"/>
          <w:color w:val="666666"/>
          <w:sz w:val="20"/>
          <w:szCs w:val="20"/>
        </w:rPr>
        <w:t>D+E.4 (Where to Intervene): 7 paragraphs. Political vs metacognitive. Swimming metaphor. Sovereignty as asymptotic. Douglass callback.</w:t>
      </w:r>
    </w:p>
    <w:p w14:paraId="6A7D66C1" w14:textId="77777777" w:rsidR="00F76965" w:rsidRDefault="00582B6A">
      <w:pPr>
        <w:spacing w:before="60" w:after="120" w:line="360" w:lineRule="auto"/>
        <w:ind w:left="360"/>
      </w:pPr>
      <w:r>
        <w:rPr>
          <w:rFonts w:ascii="Arial" w:eastAsia="Arial" w:hAnsi="Arial" w:cs="Arial"/>
          <w:color w:val="666666"/>
          <w:sz w:val="20"/>
          <w:szCs w:val="20"/>
        </w:rPr>
        <w:t>D+E.5 (What Success Looks Like): 3 paragraphs. Farmer vs revolutionary. Not relativism. Contexture.</w:t>
      </w:r>
    </w:p>
    <w:p w14:paraId="67DBF73E" w14:textId="77777777" w:rsidR="00F76965" w:rsidRDefault="00582B6A">
      <w:pPr>
        <w:spacing w:before="60" w:after="120" w:line="360" w:lineRule="auto"/>
        <w:ind w:left="360"/>
      </w:pPr>
      <w:r>
        <w:rPr>
          <w:rFonts w:ascii="Arial" w:eastAsia="Arial" w:hAnsi="Arial" w:cs="Arial"/>
          <w:color w:val="666666"/>
          <w:sz w:val="20"/>
          <w:szCs w:val="20"/>
        </w:rPr>
        <w:t>D+E.6 (Closing): 1 sentence.</w:t>
      </w:r>
    </w:p>
    <w:p w14:paraId="7CA8EC66" w14:textId="77777777" w:rsidR="00F76965" w:rsidRDefault="00582B6A">
      <w:pPr>
        <w:spacing w:before="200" w:after="120" w:line="360" w:lineRule="auto"/>
      </w:pPr>
      <w:r>
        <w:rPr>
          <w:rFonts w:ascii="Arial" w:eastAsia="Arial" w:hAnsi="Arial" w:cs="Arial"/>
          <w:b/>
          <w:bCs/>
          <w:color w:val="666666"/>
          <w:sz w:val="20"/>
          <w:szCs w:val="20"/>
        </w:rPr>
        <w:t>No instances of 'this paper,' 'this framework,' or 'this section' in the prose. No em dashes. Ideas as subjects, not the document.</w:t>
      </w:r>
    </w:p>
    <w:p w14:paraId="7781EDF4" w14:textId="77777777" w:rsidR="00F76965" w:rsidRDefault="00582B6A">
      <w:pPr>
        <w:spacing w:before="160" w:after="120" w:line="360" w:lineRule="auto"/>
      </w:pPr>
      <w:r>
        <w:rPr>
          <w:rFonts w:ascii="Arial" w:eastAsia="Arial" w:hAnsi="Arial" w:cs="Arial"/>
          <w:b/>
          <w:bCs/>
          <w:color w:val="666666"/>
          <w:sz w:val="20"/>
          <w:szCs w:val="20"/>
        </w:rPr>
        <w:t>Remaining items deferred to Part 2:</w:t>
      </w:r>
    </w:p>
    <w:p w14:paraId="4E928EDE" w14:textId="77777777" w:rsidR="00F76965" w:rsidRDefault="00582B6A">
      <w:pPr>
        <w:spacing w:before="60" w:after="120" w:line="360" w:lineRule="auto"/>
        <w:ind w:left="360"/>
      </w:pPr>
      <w:r>
        <w:rPr>
          <w:rFonts w:ascii="Arial" w:eastAsia="Arial" w:hAnsi="Arial" w:cs="Arial"/>
          <w:color w:val="666666"/>
          <w:sz w:val="20"/>
          <w:szCs w:val="20"/>
        </w:rPr>
        <w:t>Axiometrica calculus / ontological dictionary vocabulary (Comments 5-6)</w:t>
      </w:r>
    </w:p>
    <w:p w14:paraId="677FC3C5" w14:textId="77777777" w:rsidR="00F76965" w:rsidRDefault="00582B6A">
      <w:pPr>
        <w:spacing w:before="60" w:after="120" w:line="360" w:lineRule="auto"/>
        <w:ind w:left="360"/>
      </w:pPr>
      <w:r>
        <w:rPr>
          <w:rFonts w:ascii="Arial" w:eastAsia="Arial" w:hAnsi="Arial" w:cs="Arial"/>
          <w:color w:val="666666"/>
          <w:sz w:val="20"/>
          <w:szCs w:val="20"/>
        </w:rPr>
        <w:t>Formal introduction of the six metacognitive habits by name</w:t>
      </w:r>
    </w:p>
    <w:p w14:paraId="2B8656B3" w14:textId="77777777" w:rsidR="00F76965" w:rsidRDefault="00582B6A">
      <w:pPr>
        <w:spacing w:before="60" w:after="120" w:line="360" w:lineRule="auto"/>
        <w:ind w:left="360"/>
      </w:pPr>
      <w:r>
        <w:rPr>
          <w:rFonts w:ascii="Arial" w:eastAsia="Arial" w:hAnsi="Arial" w:cs="Arial"/>
          <w:color w:val="666666"/>
          <w:sz w:val="20"/>
          <w:szCs w:val="20"/>
        </w:rPr>
        <w:t>Assessment architecture for measuring metacognitive development (Comment 26)</w:t>
      </w:r>
    </w:p>
    <w:p w14:paraId="5BB8EDB6" w14:textId="77777777" w:rsidR="00F76965" w:rsidRDefault="00582B6A">
      <w:pPr>
        <w:spacing w:before="60" w:after="120" w:line="360" w:lineRule="auto"/>
        <w:ind w:left="360"/>
      </w:pPr>
      <w:r>
        <w:rPr>
          <w:rFonts w:ascii="Arial" w:eastAsia="Arial" w:hAnsi="Arial" w:cs="Arial"/>
          <w:color w:val="666666"/>
          <w:sz w:val="20"/>
          <w:szCs w:val="20"/>
        </w:rPr>
        <w:t>Communication as a core concept (Comment 22)</w:t>
      </w:r>
    </w:p>
    <w:p w14:paraId="60845367" w14:textId="77777777" w:rsidR="00F76965" w:rsidRDefault="00582B6A">
      <w:pPr>
        <w:spacing w:before="60" w:after="120" w:line="360" w:lineRule="auto"/>
        <w:ind w:left="360"/>
      </w:pPr>
      <w:r>
        <w:rPr>
          <w:rFonts w:ascii="Arial" w:eastAsia="Arial" w:hAnsi="Arial" w:cs="Arial"/>
          <w:color w:val="666666"/>
          <w:sz w:val="20"/>
          <w:szCs w:val="20"/>
        </w:rPr>
        <w:t>Banking logic embedded in assessment structures (Comment 2 observation)</w:t>
      </w:r>
    </w:p>
    <w:sectPr w:rsidR="00F76965">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4-02T15:46:00Z" w:initials="WC">
    <w:p w14:paraId="166A851E" w14:textId="77777777" w:rsidR="005D1879" w:rsidRDefault="005D1879" w:rsidP="005D1879">
      <w:pPr>
        <w:pStyle w:val="CommentText"/>
      </w:pPr>
      <w:r>
        <w:rPr>
          <w:rStyle w:val="CommentReference"/>
        </w:rPr>
        <w:annotationRef/>
      </w:r>
      <w:r>
        <w:t>Can you please stress test this against search bias? I don’t want to misinterpret Freire. Look up research on other people’s writings/critiques/reviews of Freiere, plus his own interviews/accounts/admissions to see if we used his book correctly</w:t>
      </w:r>
    </w:p>
  </w:comment>
  <w:comment w:id="1" w:author="Wil Cosgrove" w:date="2026-04-02T15:53:00Z" w:initials="WC">
    <w:p w14:paraId="3B498801" w14:textId="77777777" w:rsidR="005D1879" w:rsidRDefault="005D1879" w:rsidP="005D1879">
      <w:pPr>
        <w:pStyle w:val="CommentText"/>
      </w:pPr>
      <w:r>
        <w:rPr>
          <w:rStyle w:val="CommentReference"/>
        </w:rPr>
        <w:annotationRef/>
      </w:r>
      <w:r>
        <w:t>There are a lot of really short sentences here</w:t>
      </w:r>
    </w:p>
  </w:comment>
  <w:comment w:id="2" w:author="Wil Cosgrove" w:date="2026-04-02T15:55:00Z" w:initials="WC">
    <w:p w14:paraId="7A63C9EE" w14:textId="77777777" w:rsidR="005D1879" w:rsidRDefault="005D1879" w:rsidP="005D1879">
      <w:pPr>
        <w:pStyle w:val="CommentText"/>
      </w:pPr>
      <w:r>
        <w:rPr>
          <w:rStyle w:val="CommentReference"/>
        </w:rPr>
        <w:annotationRef/>
      </w:r>
      <w:r>
        <w:t>Everywhere “that” meaning is imposed</w:t>
      </w:r>
    </w:p>
  </w:comment>
  <w:comment w:id="3" w:author="Wil Cosgrove" w:date="2026-04-02T15:57:00Z" w:initials="WC">
    <w:p w14:paraId="13862994" w14:textId="77777777" w:rsidR="00B15705" w:rsidRDefault="00B15705" w:rsidP="00B15705">
      <w:pPr>
        <w:pStyle w:val="CommentText"/>
      </w:pPr>
      <w:r>
        <w:rPr>
          <w:rStyle w:val="CommentReference"/>
        </w:rPr>
        <w:annotationRef/>
      </w:r>
      <w:r>
        <w:t>Quote?</w:t>
      </w:r>
    </w:p>
  </w:comment>
  <w:comment w:id="4" w:author="Wil Cosgrove" w:date="2026-04-02T15:58:00Z" w:initials="WC">
    <w:p w14:paraId="2BB863E1" w14:textId="77777777" w:rsidR="00B15705" w:rsidRDefault="00B15705" w:rsidP="00B15705">
      <w:pPr>
        <w:pStyle w:val="CommentText"/>
      </w:pPr>
      <w:r>
        <w:rPr>
          <w:rStyle w:val="CommentReference"/>
        </w:rPr>
        <w:annotationRef/>
      </w:r>
      <w:r>
        <w:t>italisize</w:t>
      </w:r>
    </w:p>
  </w:comment>
  <w:comment w:id="5" w:author="Wil Cosgrove" w:date="2026-04-02T15:59:00Z" w:initials="WC">
    <w:p w14:paraId="6712E6EA" w14:textId="77777777" w:rsidR="00B15705" w:rsidRDefault="00B15705" w:rsidP="00B15705">
      <w:pPr>
        <w:pStyle w:val="CommentText"/>
      </w:pPr>
      <w:r>
        <w:rPr>
          <w:rStyle w:val="CommentReference"/>
        </w:rPr>
        <w:annotationRef/>
      </w:r>
      <w:r>
        <w:t>;</w:t>
      </w:r>
    </w:p>
  </w:comment>
  <w:comment w:id="6" w:author="Wil Cosgrove" w:date="2026-04-02T16:00:00Z" w:initials="WC">
    <w:p w14:paraId="52AC9BE4" w14:textId="77777777" w:rsidR="00B15705" w:rsidRDefault="00B15705" w:rsidP="00B15705">
      <w:pPr>
        <w:pStyle w:val="CommentText"/>
      </w:pPr>
      <w:r>
        <w:rPr>
          <w:rStyle w:val="CommentReference"/>
        </w:rPr>
        <w:annotationRef/>
      </w:r>
      <w:r>
        <w:t>Beautiful</w:t>
      </w:r>
    </w:p>
  </w:comment>
  <w:comment w:id="7" w:author="Wil Cosgrove" w:date="2026-04-02T16:11:00Z" w:initials="WC">
    <w:p w14:paraId="66386002" w14:textId="77777777" w:rsidR="006F005C" w:rsidRDefault="006F005C" w:rsidP="006F005C">
      <w:pPr>
        <w:pStyle w:val="CommentText"/>
      </w:pPr>
      <w:r>
        <w:rPr>
          <w:rStyle w:val="CommentReference"/>
        </w:rPr>
        <w:annotationRef/>
      </w:r>
      <w:r>
        <w:t>This is reversed too right? A student (who is not the dominant person-in-power in the classroom) has externalized biases projected outward to their teacher when they roll their eyes, fall asleep, raise their hand eagerly vs half way up</w:t>
      </w:r>
    </w:p>
  </w:comment>
  <w:comment w:id="8" w:author="Wil Cosgrove" w:date="2026-04-02T16:13:00Z" w:initials="WC">
    <w:p w14:paraId="399E2315" w14:textId="77777777" w:rsidR="00944184" w:rsidRDefault="00944184" w:rsidP="00944184">
      <w:pPr>
        <w:pStyle w:val="CommentText"/>
      </w:pPr>
      <w:r>
        <w:rPr>
          <w:rStyle w:val="CommentReference"/>
        </w:rPr>
        <w:annotationRef/>
      </w:r>
      <w:r>
        <w:t>Can’t say “well known” without citing</w:t>
      </w:r>
    </w:p>
  </w:comment>
  <w:comment w:id="9" w:author="Wil Cosgrove" w:date="2026-04-02T16:14:00Z" w:initials="WC">
    <w:p w14:paraId="4E954AF7" w14:textId="77777777" w:rsidR="00646ACB" w:rsidRDefault="00646ACB" w:rsidP="00646ACB">
      <w:pPr>
        <w:pStyle w:val="CommentText"/>
      </w:pPr>
      <w:r>
        <w:rPr>
          <w:rStyle w:val="CommentReference"/>
        </w:rPr>
        <w:annotationRef/>
      </w:r>
      <w:r>
        <w:t>Added outside because the primates still punished each other</w:t>
      </w:r>
    </w:p>
  </w:comment>
  <w:comment w:id="10" w:author="Wil Cosgrove" w:date="2026-04-02T16:17:00Z" w:initials="WC">
    <w:p w14:paraId="1A4CB97C" w14:textId="77777777" w:rsidR="00F03C64" w:rsidRDefault="00F03C64" w:rsidP="00F03C64">
      <w:pPr>
        <w:pStyle w:val="CommentText"/>
      </w:pPr>
      <w:r>
        <w:rPr>
          <w:rStyle w:val="CommentReference"/>
        </w:rPr>
        <w:annotationRef/>
      </w:r>
      <w:r>
        <w:t>Should this paragraph be a footnote?</w:t>
      </w:r>
    </w:p>
  </w:comment>
  <w:comment w:id="11" w:author="Wil Cosgrove" w:date="2026-04-02T16:19:00Z" w:initials="WC">
    <w:p w14:paraId="189C538B" w14:textId="77777777" w:rsidR="00F03C64" w:rsidRDefault="00F03C64" w:rsidP="00F03C64">
      <w:pPr>
        <w:pStyle w:val="CommentText"/>
      </w:pPr>
      <w:r>
        <w:rPr>
          <w:rStyle w:val="CommentReference"/>
        </w:rPr>
        <w:annotationRef/>
      </w:r>
      <w:r>
        <w:t>Make sure to keep all these notes</w:t>
      </w:r>
    </w:p>
  </w:comment>
  <w:comment w:id="12" w:author="Wil Cosgrove" w:date="2026-04-02T16:22:00Z" w:initials="WC">
    <w:p w14:paraId="373A0FF3" w14:textId="77777777" w:rsidR="004C5B13" w:rsidRDefault="004C5B13" w:rsidP="004C5B13">
      <w:pPr>
        <w:pStyle w:val="CommentText"/>
      </w:pPr>
      <w:r>
        <w:rPr>
          <w:rStyle w:val="CommentReference"/>
        </w:rPr>
        <w:annotationRef/>
      </w:r>
      <w:r>
        <w:t>Should this be semicoluns?</w:t>
      </w:r>
    </w:p>
  </w:comment>
  <w:comment w:id="13" w:author="Wil Cosgrove" w:date="2026-04-02T16:22:00Z" w:initials="WC">
    <w:p w14:paraId="215F6E3D" w14:textId="77777777" w:rsidR="004C5B13" w:rsidRDefault="004C5B13" w:rsidP="004C5B13">
      <w:pPr>
        <w:pStyle w:val="CommentText"/>
      </w:pPr>
      <w:r>
        <w:rPr>
          <w:rStyle w:val="CommentReference"/>
        </w:rPr>
        <w:annotationRef/>
      </w:r>
      <w:r>
        <w:t>I like this</w:t>
      </w:r>
    </w:p>
  </w:comment>
  <w:comment w:id="14" w:author="Wil Cosgrove" w:date="2026-04-02T16:24:00Z" w:initials="WC">
    <w:p w14:paraId="78E8997C" w14:textId="77777777" w:rsidR="007D17D8" w:rsidRDefault="007D17D8" w:rsidP="007D17D8">
      <w:pPr>
        <w:pStyle w:val="CommentText"/>
      </w:pPr>
      <w:r>
        <w:rPr>
          <w:rStyle w:val="CommentReference"/>
        </w:rPr>
        <w:annotationRef/>
      </w:r>
      <w:r>
        <w:t>I put this in here as both a grammer helper and as a point that it will never be done. But I don’t know if “still” implies an unreached endpoint</w:t>
      </w:r>
    </w:p>
  </w:comment>
  <w:comment w:id="15" w:author="Wil Cosgrove" w:date="2026-04-02T16:33:00Z" w:initials="WC">
    <w:p w14:paraId="1C3001C0" w14:textId="77777777" w:rsidR="00714198" w:rsidRDefault="00714198" w:rsidP="00714198">
      <w:pPr>
        <w:pStyle w:val="CommentText"/>
      </w:pPr>
      <w:r>
        <w:rPr>
          <w:rStyle w:val="CommentReference"/>
        </w:rPr>
        <w:annotationRef/>
      </w:r>
      <w:r>
        <w:t>Extremely good word play on “current” - that’s the best in this whole paper. Probably unintentional but powerful</w:t>
      </w:r>
    </w:p>
  </w:comment>
  <w:comment w:id="16" w:author="Wil Cosgrove" w:date="2026-04-02T16:35:00Z" w:initials="WC">
    <w:p w14:paraId="4A91F13E" w14:textId="77777777" w:rsidR="00714198" w:rsidRDefault="00714198" w:rsidP="00714198">
      <w:pPr>
        <w:pStyle w:val="CommentText"/>
      </w:pPr>
      <w:r>
        <w:rPr>
          <w:rStyle w:val="CommentReference"/>
        </w:rPr>
        <w:annotationRef/>
      </w:r>
      <w:r>
        <w:t>Make sure you even out the “his” and “hers”</w:t>
      </w:r>
    </w:p>
  </w:comment>
  <w:comment w:id="17" w:author="Wil Cosgrove" w:date="2026-04-02T16:38:00Z" w:initials="WC">
    <w:p w14:paraId="755CEDB8" w14:textId="77777777" w:rsidR="0080740A" w:rsidRDefault="0080740A" w:rsidP="0080740A">
      <w:pPr>
        <w:pStyle w:val="CommentText"/>
      </w:pPr>
      <w:r>
        <w:rPr>
          <w:rStyle w:val="CommentReference"/>
        </w:rPr>
        <w:annotationRef/>
      </w:r>
      <w:r>
        <w:t>Nice. Love it</w:t>
      </w:r>
    </w:p>
  </w:comment>
  <w:comment w:id="18" w:author="Wil Cosgrove" w:date="2026-04-02T16:39:00Z" w:initials="WC">
    <w:p w14:paraId="0BBE602B" w14:textId="77777777" w:rsidR="0080740A" w:rsidRDefault="0080740A" w:rsidP="0080740A">
      <w:pPr>
        <w:pStyle w:val="CommentText"/>
      </w:pPr>
      <w:r>
        <w:rPr>
          <w:rStyle w:val="CommentReference"/>
        </w:rPr>
        <w:annotationRef/>
      </w:r>
      <w:r>
        <w:t>Yes</w:t>
      </w:r>
    </w:p>
  </w:comment>
  <w:comment w:id="19" w:author="Wil Cosgrove" w:date="2026-04-02T16:41:00Z" w:initials="WC">
    <w:p w14:paraId="409B3234" w14:textId="77777777" w:rsidR="00C611B7" w:rsidRDefault="00C611B7" w:rsidP="00C611B7">
      <w:pPr>
        <w:pStyle w:val="CommentText"/>
      </w:pPr>
      <w:r>
        <w:rPr>
          <w:rStyle w:val="CommentReference"/>
        </w:rPr>
        <w:annotationRef/>
      </w:r>
      <w:r>
        <w:t>We need to add this ass a footnote without saying Part 1 and Part 2 (we can have a “see pages ________” placeholder maybe for future pages, we’d just need to add something in brackets saying [this section will talk about it] and I’ll replace it when I write my section</w:t>
      </w:r>
    </w:p>
  </w:comment>
  <w:comment w:id="20" w:author="Wil Cosgrove" w:date="2026-04-02T16:42:00Z" w:initials="WC">
    <w:p w14:paraId="7FFA1DFE" w14:textId="77777777" w:rsidR="00C611B7" w:rsidRDefault="00C611B7" w:rsidP="00C611B7">
      <w:pPr>
        <w:pStyle w:val="CommentText"/>
      </w:pPr>
      <w:r>
        <w:rPr>
          <w:rStyle w:val="CommentReference"/>
        </w:rPr>
        <w:annotationRef/>
      </w:r>
      <w:r>
        <w:t>Saying “contexture” helps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6A851E" w15:done="0"/>
  <w15:commentEx w15:paraId="3B498801" w15:done="0"/>
  <w15:commentEx w15:paraId="7A63C9EE" w15:done="0"/>
  <w15:commentEx w15:paraId="13862994" w15:done="0"/>
  <w15:commentEx w15:paraId="2BB863E1" w15:done="0"/>
  <w15:commentEx w15:paraId="6712E6EA" w15:done="0"/>
  <w15:commentEx w15:paraId="52AC9BE4" w15:done="0"/>
  <w15:commentEx w15:paraId="66386002" w15:done="0"/>
  <w15:commentEx w15:paraId="399E2315" w15:done="0"/>
  <w15:commentEx w15:paraId="4E954AF7" w15:done="0"/>
  <w15:commentEx w15:paraId="1A4CB97C" w15:done="0"/>
  <w15:commentEx w15:paraId="189C538B" w15:done="0"/>
  <w15:commentEx w15:paraId="373A0FF3" w15:done="0"/>
  <w15:commentEx w15:paraId="215F6E3D" w15:done="0"/>
  <w15:commentEx w15:paraId="78E8997C" w15:done="0"/>
  <w15:commentEx w15:paraId="1C3001C0" w15:done="0"/>
  <w15:commentEx w15:paraId="4A91F13E" w15:done="0"/>
  <w15:commentEx w15:paraId="755CEDB8" w15:done="0"/>
  <w15:commentEx w15:paraId="0BBE602B" w15:done="0"/>
  <w15:commentEx w15:paraId="409B3234" w15:done="0"/>
  <w15:commentEx w15:paraId="7FFA1DFE" w15:paraIdParent="409B32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0E615" w16cex:dateUtc="2026-04-02T19:46:00Z"/>
  <w16cex:commentExtensible w16cex:durableId="3A428D53" w16cex:dateUtc="2026-04-02T19:53:00Z"/>
  <w16cex:commentExtensible w16cex:durableId="4747D15C" w16cex:dateUtc="2026-04-02T19:55:00Z"/>
  <w16cex:commentExtensible w16cex:durableId="4ED03C78" w16cex:dateUtc="2026-04-02T19:57:00Z"/>
  <w16cex:commentExtensible w16cex:durableId="2FB5E207" w16cex:dateUtc="2026-04-02T19:58:00Z"/>
  <w16cex:commentExtensible w16cex:durableId="7F0613F6" w16cex:dateUtc="2026-04-02T19:59:00Z"/>
  <w16cex:commentExtensible w16cex:durableId="7B0E1A9D" w16cex:dateUtc="2026-04-02T20:00:00Z"/>
  <w16cex:commentExtensible w16cex:durableId="74A8F84D" w16cex:dateUtc="2026-04-02T20:11:00Z"/>
  <w16cex:commentExtensible w16cex:durableId="60A50FE4" w16cex:dateUtc="2026-04-02T20:13:00Z"/>
  <w16cex:commentExtensible w16cex:durableId="139A44DE" w16cex:dateUtc="2026-04-02T20:14:00Z"/>
  <w16cex:commentExtensible w16cex:durableId="08E184FD" w16cex:dateUtc="2026-04-02T20:17:00Z"/>
  <w16cex:commentExtensible w16cex:durableId="3B126AA6" w16cex:dateUtc="2026-04-02T20:19:00Z"/>
  <w16cex:commentExtensible w16cex:durableId="2C556A2B" w16cex:dateUtc="2026-04-02T20:22:00Z"/>
  <w16cex:commentExtensible w16cex:durableId="2A5D59AF" w16cex:dateUtc="2026-04-02T20:22:00Z"/>
  <w16cex:commentExtensible w16cex:durableId="01C8CCA9" w16cex:dateUtc="2026-04-02T20:24:00Z"/>
  <w16cex:commentExtensible w16cex:durableId="64F450DB" w16cex:dateUtc="2026-04-02T20:33:00Z"/>
  <w16cex:commentExtensible w16cex:durableId="4E9A6C83" w16cex:dateUtc="2026-04-02T20:35:00Z"/>
  <w16cex:commentExtensible w16cex:durableId="1569C64A" w16cex:dateUtc="2026-04-02T20:38:00Z"/>
  <w16cex:commentExtensible w16cex:durableId="1E34306D" w16cex:dateUtc="2026-04-02T20:39:00Z"/>
  <w16cex:commentExtensible w16cex:durableId="07BD671E" w16cex:dateUtc="2026-04-02T20:41:00Z"/>
  <w16cex:commentExtensible w16cex:durableId="331C6652" w16cex:dateUtc="2026-04-02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6A851E" w16cid:durableId="2FE0E615"/>
  <w16cid:commentId w16cid:paraId="3B498801" w16cid:durableId="3A428D53"/>
  <w16cid:commentId w16cid:paraId="7A63C9EE" w16cid:durableId="4747D15C"/>
  <w16cid:commentId w16cid:paraId="13862994" w16cid:durableId="4ED03C78"/>
  <w16cid:commentId w16cid:paraId="2BB863E1" w16cid:durableId="2FB5E207"/>
  <w16cid:commentId w16cid:paraId="6712E6EA" w16cid:durableId="7F0613F6"/>
  <w16cid:commentId w16cid:paraId="52AC9BE4" w16cid:durableId="7B0E1A9D"/>
  <w16cid:commentId w16cid:paraId="66386002" w16cid:durableId="74A8F84D"/>
  <w16cid:commentId w16cid:paraId="399E2315" w16cid:durableId="60A50FE4"/>
  <w16cid:commentId w16cid:paraId="4E954AF7" w16cid:durableId="139A44DE"/>
  <w16cid:commentId w16cid:paraId="1A4CB97C" w16cid:durableId="08E184FD"/>
  <w16cid:commentId w16cid:paraId="189C538B" w16cid:durableId="3B126AA6"/>
  <w16cid:commentId w16cid:paraId="373A0FF3" w16cid:durableId="2C556A2B"/>
  <w16cid:commentId w16cid:paraId="215F6E3D" w16cid:durableId="2A5D59AF"/>
  <w16cid:commentId w16cid:paraId="78E8997C" w16cid:durableId="01C8CCA9"/>
  <w16cid:commentId w16cid:paraId="1C3001C0" w16cid:durableId="64F450DB"/>
  <w16cid:commentId w16cid:paraId="4A91F13E" w16cid:durableId="4E9A6C83"/>
  <w16cid:commentId w16cid:paraId="755CEDB8" w16cid:durableId="1569C64A"/>
  <w16cid:commentId w16cid:paraId="0BBE602B" w16cid:durableId="1E34306D"/>
  <w16cid:commentId w16cid:paraId="409B3234" w16cid:durableId="07BD671E"/>
  <w16cid:commentId w16cid:paraId="7FFA1DFE" w16cid:durableId="331C66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10FF"/>
    <w:multiLevelType w:val="hybridMultilevel"/>
    <w:tmpl w:val="7C14B33E"/>
    <w:lvl w:ilvl="0" w:tplc="FCC6CD84">
      <w:start w:val="1"/>
      <w:numFmt w:val="bullet"/>
      <w:lvlText w:val="●"/>
      <w:lvlJc w:val="left"/>
      <w:pPr>
        <w:ind w:left="720" w:hanging="360"/>
      </w:pPr>
    </w:lvl>
    <w:lvl w:ilvl="1" w:tplc="F6C8130A">
      <w:start w:val="1"/>
      <w:numFmt w:val="bullet"/>
      <w:lvlText w:val="○"/>
      <w:lvlJc w:val="left"/>
      <w:pPr>
        <w:ind w:left="1440" w:hanging="360"/>
      </w:pPr>
    </w:lvl>
    <w:lvl w:ilvl="2" w:tplc="B35685CC">
      <w:start w:val="1"/>
      <w:numFmt w:val="bullet"/>
      <w:lvlText w:val="■"/>
      <w:lvlJc w:val="left"/>
      <w:pPr>
        <w:ind w:left="2160" w:hanging="360"/>
      </w:pPr>
    </w:lvl>
    <w:lvl w:ilvl="3" w:tplc="4192050E">
      <w:start w:val="1"/>
      <w:numFmt w:val="bullet"/>
      <w:lvlText w:val="●"/>
      <w:lvlJc w:val="left"/>
      <w:pPr>
        <w:ind w:left="2880" w:hanging="360"/>
      </w:pPr>
    </w:lvl>
    <w:lvl w:ilvl="4" w:tplc="4A724C7C">
      <w:start w:val="1"/>
      <w:numFmt w:val="bullet"/>
      <w:lvlText w:val="○"/>
      <w:lvlJc w:val="left"/>
      <w:pPr>
        <w:ind w:left="3600" w:hanging="360"/>
      </w:pPr>
    </w:lvl>
    <w:lvl w:ilvl="5" w:tplc="B4709BD4">
      <w:start w:val="1"/>
      <w:numFmt w:val="bullet"/>
      <w:lvlText w:val="■"/>
      <w:lvlJc w:val="left"/>
      <w:pPr>
        <w:ind w:left="4320" w:hanging="360"/>
      </w:pPr>
    </w:lvl>
    <w:lvl w:ilvl="6" w:tplc="B80C328A">
      <w:start w:val="1"/>
      <w:numFmt w:val="bullet"/>
      <w:lvlText w:val="●"/>
      <w:lvlJc w:val="left"/>
      <w:pPr>
        <w:ind w:left="5040" w:hanging="360"/>
      </w:pPr>
    </w:lvl>
    <w:lvl w:ilvl="7" w:tplc="2370DD44">
      <w:start w:val="1"/>
      <w:numFmt w:val="bullet"/>
      <w:lvlText w:val="●"/>
      <w:lvlJc w:val="left"/>
      <w:pPr>
        <w:ind w:left="5760" w:hanging="360"/>
      </w:pPr>
    </w:lvl>
    <w:lvl w:ilvl="8" w:tplc="0F9423E4">
      <w:start w:val="1"/>
      <w:numFmt w:val="bullet"/>
      <w:lvlText w:val="●"/>
      <w:lvlJc w:val="left"/>
      <w:pPr>
        <w:ind w:left="6480" w:hanging="360"/>
      </w:pPr>
    </w:lvl>
  </w:abstractNum>
  <w:num w:numId="1" w16cid:durableId="24680999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965"/>
    <w:rsid w:val="0028022E"/>
    <w:rsid w:val="0038611B"/>
    <w:rsid w:val="004C5B13"/>
    <w:rsid w:val="004C69BD"/>
    <w:rsid w:val="005163C4"/>
    <w:rsid w:val="00582B6A"/>
    <w:rsid w:val="005D1879"/>
    <w:rsid w:val="00646ACB"/>
    <w:rsid w:val="006F005C"/>
    <w:rsid w:val="00714198"/>
    <w:rsid w:val="007D17D8"/>
    <w:rsid w:val="0080740A"/>
    <w:rsid w:val="00944184"/>
    <w:rsid w:val="00B15705"/>
    <w:rsid w:val="00C611B7"/>
    <w:rsid w:val="00F03C64"/>
    <w:rsid w:val="00F76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5AF9"/>
  <w15:docId w15:val="{853F538E-5012-47F5-921C-32BDA261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D1879"/>
    <w:rPr>
      <w:sz w:val="16"/>
      <w:szCs w:val="16"/>
    </w:rPr>
  </w:style>
  <w:style w:type="paragraph" w:styleId="CommentText">
    <w:name w:val="annotation text"/>
    <w:basedOn w:val="Normal"/>
    <w:link w:val="CommentTextChar"/>
    <w:uiPriority w:val="99"/>
    <w:unhideWhenUsed/>
    <w:rsid w:val="005D1879"/>
    <w:rPr>
      <w:sz w:val="20"/>
      <w:szCs w:val="20"/>
    </w:rPr>
  </w:style>
  <w:style w:type="character" w:customStyle="1" w:styleId="CommentTextChar">
    <w:name w:val="Comment Text Char"/>
    <w:basedOn w:val="DefaultParagraphFont"/>
    <w:link w:val="CommentText"/>
    <w:uiPriority w:val="99"/>
    <w:rsid w:val="005D1879"/>
    <w:rPr>
      <w:sz w:val="20"/>
      <w:szCs w:val="20"/>
    </w:rPr>
  </w:style>
  <w:style w:type="paragraph" w:styleId="CommentSubject">
    <w:name w:val="annotation subject"/>
    <w:basedOn w:val="CommentText"/>
    <w:next w:val="CommentText"/>
    <w:link w:val="CommentSubjectChar"/>
    <w:uiPriority w:val="99"/>
    <w:semiHidden/>
    <w:unhideWhenUsed/>
    <w:rsid w:val="005D1879"/>
    <w:rPr>
      <w:b/>
      <w:bCs/>
    </w:rPr>
  </w:style>
  <w:style w:type="character" w:customStyle="1" w:styleId="CommentSubjectChar">
    <w:name w:val="Comment Subject Char"/>
    <w:basedOn w:val="CommentTextChar"/>
    <w:link w:val="CommentSubject"/>
    <w:uiPriority w:val="99"/>
    <w:semiHidden/>
    <w:rsid w:val="005D18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3110</Words>
  <Characters>17728</Characters>
  <Application>Microsoft Office Word</Application>
  <DocSecurity>0</DocSecurity>
  <Lines>253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2</cp:revision>
  <dcterms:created xsi:type="dcterms:W3CDTF">2026-04-02T20:52:00Z</dcterms:created>
  <dcterms:modified xsi:type="dcterms:W3CDTF">2026-04-02T20:52:00Z</dcterms:modified>
</cp:coreProperties>
</file>