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5E1FC3" w14:textId="77777777" w:rsidR="006D2103" w:rsidRDefault="00B945BE">
      <w:pPr>
        <w:spacing w:before="400" w:after="100" w:line="300" w:lineRule="auto"/>
      </w:pPr>
      <w:r>
        <w:rPr>
          <w:b/>
          <w:bCs/>
          <w:color w:val="2D2D2D"/>
          <w:sz w:val="32"/>
          <w:szCs w:val="32"/>
        </w:rPr>
        <w:t>COMBINED D+E OUTLINE</w:t>
      </w:r>
    </w:p>
    <w:p w14:paraId="4EF572AD" w14:textId="77777777" w:rsidR="006D2103" w:rsidRDefault="00B945BE">
      <w:pPr>
        <w:spacing w:before="100" w:after="100" w:line="300" w:lineRule="auto"/>
      </w:pPr>
      <w:r>
        <w:rPr>
          <w:i/>
          <w:iCs/>
          <w:color w:val="4A5568"/>
          <w:sz w:val="24"/>
          <w:szCs w:val="24"/>
        </w:rPr>
        <w:t>The Cycle and the Response</w:t>
      </w:r>
    </w:p>
    <w:p w14:paraId="393D33FC" w14:textId="77777777" w:rsidR="006D2103" w:rsidRDefault="00B945BE">
      <w:pPr>
        <w:spacing w:before="100" w:after="100" w:line="300" w:lineRule="auto"/>
      </w:pPr>
      <w:r>
        <w:rPr>
          <w:color w:val="888888"/>
          <w:sz w:val="20"/>
          <w:szCs w:val="20"/>
        </w:rPr>
        <w:t>Replaces Sections D and E from the previous outline</w:t>
      </w:r>
    </w:p>
    <w:p w14:paraId="7C001BEA" w14:textId="77777777" w:rsidR="006D2103" w:rsidRDefault="006D2103">
      <w:pPr>
        <w:pBdr>
          <w:bottom w:val="single" w:sz="3" w:space="0" w:color="8B6914"/>
        </w:pBdr>
        <w:spacing w:before="180" w:after="180"/>
      </w:pPr>
    </w:p>
    <w:p w14:paraId="2B3BEA41" w14:textId="77777777" w:rsidR="006D2103" w:rsidRDefault="00B945BE">
      <w:pPr>
        <w:spacing w:before="200" w:after="100" w:line="300" w:lineRule="auto"/>
      </w:pPr>
      <w:r>
        <w:rPr>
          <w:b/>
          <w:bCs/>
          <w:color w:val="4A7C59"/>
          <w:sz w:val="24"/>
          <w:szCs w:val="24"/>
        </w:rPr>
        <w:t>PURPOSE OF THIS SECTION</w:t>
      </w:r>
    </w:p>
    <w:p w14:paraId="34967809" w14:textId="77777777" w:rsidR="006D2103" w:rsidRDefault="00B945BE">
      <w:pPr>
        <w:spacing w:before="100" w:after="100" w:line="300" w:lineRule="auto"/>
        <w:ind w:left="360"/>
      </w:pPr>
      <w:r>
        <w:rPr>
          <w:color w:val="2D2D2D"/>
        </w:rPr>
        <w:t>This section does three things in sequence. First, it grounds the cognitive oppression framework in its intellectual ancestor (Freire) to give the argument historical legitimacy and show this is not invented from scratch. Second, it maps the mechanics of how cognitive oppression actually cycles through individuals and institutions, using Freire’s vocabulary as the entry point and then extending beyond it. Third, it lands the metacognitive response and names the departure from Freire: the project is self-ema</w:t>
      </w:r>
      <w:r>
        <w:rPr>
          <w:color w:val="2D2D2D"/>
        </w:rPr>
        <w:t>ncipation from the self, not collective political revolution. The farmer who consciously chose to farm is as liberated as the revolutionary who consciously chose to revolt.</w:t>
      </w:r>
    </w:p>
    <w:p w14:paraId="0B87C27F" w14:textId="77777777" w:rsidR="006D2103" w:rsidRDefault="00B945BE">
      <w:pPr>
        <w:spacing w:before="60" w:after="100" w:line="300" w:lineRule="auto"/>
        <w:ind w:left="360"/>
      </w:pPr>
      <w:r>
        <w:rPr>
          <w:i/>
          <w:iCs/>
          <w:color w:val="4A5568"/>
        </w:rPr>
        <w:t>This section also absorbs the work that Sections D and E were doing separately. The three compartments (internalized, externalized, interpersonal) appear here as part of a cycle rather than as standalone philosophical categories. The research citations land here as supporting evidence within the argument rather than as academic catalog. The bridge to metacognition is not a separate section; it is the resolution of the cycle. Everything flows downhill.</w:t>
      </w:r>
    </w:p>
    <w:p w14:paraId="723D31B7" w14:textId="77777777" w:rsidR="006D2103" w:rsidRDefault="006D2103">
      <w:pPr>
        <w:pBdr>
          <w:bottom w:val="single" w:sz="3" w:space="0" w:color="CBD5E0"/>
        </w:pBdr>
        <w:spacing w:before="180" w:after="180"/>
      </w:pPr>
    </w:p>
    <w:p w14:paraId="30A9206F" w14:textId="77777777" w:rsidR="006D2103" w:rsidRDefault="00B945BE">
      <w:pPr>
        <w:spacing w:before="300" w:after="100" w:line="300" w:lineRule="auto"/>
      </w:pPr>
      <w:r>
        <w:rPr>
          <w:b/>
          <w:bCs/>
          <w:color w:val="2D2D2D"/>
          <w:sz w:val="26"/>
          <w:szCs w:val="26"/>
        </w:rPr>
        <w:t>THE CYCLE AND THE RESPONSE</w:t>
      </w:r>
    </w:p>
    <w:p w14:paraId="634E0BFA" w14:textId="77777777" w:rsidR="006D2103" w:rsidRDefault="00B945BE">
      <w:pPr>
        <w:spacing w:before="100" w:after="100" w:line="300" w:lineRule="auto"/>
        <w:ind w:left="360"/>
      </w:pPr>
      <w:r>
        <w:rPr>
          <w:i/>
          <w:iCs/>
          <w:color w:val="888888"/>
          <w:sz w:val="19"/>
          <w:szCs w:val="19"/>
        </w:rPr>
        <w:t>(Working section title. May also work as: "From Freire to Cogniscience" or simply remain untitled as the natural continuation after C.5.)</w:t>
      </w:r>
    </w:p>
    <w:p w14:paraId="442E64DD" w14:textId="77777777" w:rsidR="006D2103" w:rsidRDefault="006D2103">
      <w:pPr>
        <w:spacing w:before="80"/>
      </w:pPr>
    </w:p>
    <w:p w14:paraId="42E05378" w14:textId="77777777" w:rsidR="006D2103" w:rsidRDefault="00B945BE">
      <w:pPr>
        <w:spacing w:before="240" w:after="100" w:line="300" w:lineRule="auto"/>
        <w:ind w:left="360"/>
      </w:pPr>
      <w:r>
        <w:rPr>
          <w:b/>
          <w:bCs/>
          <w:color w:val="2D2D2D"/>
          <w:sz w:val="23"/>
          <w:szCs w:val="23"/>
        </w:rPr>
        <w:t>D+E.1 — The Ancestor</w:t>
      </w:r>
    </w:p>
    <w:p w14:paraId="32EEECA0" w14:textId="77777777" w:rsidR="006D2103" w:rsidRDefault="00B945BE">
      <w:pPr>
        <w:spacing w:before="100" w:after="100" w:line="300" w:lineRule="auto"/>
        <w:ind w:left="720"/>
      </w:pPr>
      <w:r>
        <w:rPr>
          <w:color w:val="2D2D2D"/>
        </w:rPr>
        <w:t>Enter through Freire. Not as a citation but as a reckoning. He saw this first. Half a century before this paper was written, working with Brazilian peasants learning to read, Freire described the exact mechanism at the center of your framework.</w:t>
      </w:r>
    </w:p>
    <w:p w14:paraId="12F87B49" w14:textId="77777777" w:rsidR="006D2103" w:rsidRDefault="00B945BE">
      <w:pPr>
        <w:spacing w:before="120" w:after="100" w:line="300" w:lineRule="auto"/>
        <w:ind w:left="720"/>
      </w:pPr>
      <w:r>
        <w:rPr>
          <w:b/>
          <w:bCs/>
          <w:color w:val="4A5568"/>
          <w:sz w:val="20"/>
          <w:szCs w:val="20"/>
        </w:rPr>
        <w:t>The mapping (each of these should be roughly one sentence, not a paragraph):</w:t>
      </w:r>
    </w:p>
    <w:p w14:paraId="619E6C18" w14:textId="77777777" w:rsidR="006D2103" w:rsidRDefault="00B945BE">
      <w:pPr>
        <w:spacing w:before="100" w:after="100" w:line="300" w:lineRule="auto"/>
        <w:ind w:left="1080"/>
      </w:pPr>
      <w:r>
        <w:rPr>
          <w:color w:val="2D2D2D"/>
        </w:rPr>
        <w:t>Freire’s "prescription" is the spine of this chapter. "Every prescription represents the imposition of one individual’s choice upon another, transforming the consciousness of the person prescribed to into one that conforms with the prescriber’s consciousness." That is: oppression is what happens when your reality is defined for you.</w:t>
      </w:r>
    </w:p>
    <w:p w14:paraId="15A5C6FD" w14:textId="77777777" w:rsidR="006D2103" w:rsidRDefault="00B945BE">
      <w:pPr>
        <w:spacing w:before="100" w:after="100" w:line="300" w:lineRule="auto"/>
        <w:ind w:left="1080"/>
      </w:pPr>
      <w:r>
        <w:rPr>
          <w:color w:val="2D2D2D"/>
        </w:rPr>
        <w:lastRenderedPageBreak/>
        <w:t>Freire’s "internalization of the oppressor" is what this framework calls internalized oppression. The oppressed "have internalized the image of the oppressor and adopted his guidelines." They are "at one and the same time themselves and the oppressor whose consciousness they have internalized."</w:t>
      </w:r>
    </w:p>
    <w:p w14:paraId="13CF8B77" w14:textId="77777777" w:rsidR="006D2103" w:rsidRDefault="00B945BE">
      <w:pPr>
        <w:spacing w:before="100" w:after="100" w:line="300" w:lineRule="auto"/>
        <w:ind w:left="1080"/>
      </w:pPr>
      <w:r>
        <w:rPr>
          <w:color w:val="2D2D2D"/>
        </w:rPr>
        <w:t>Freire’s "horizontal violence" is the cycle between externalized and interpersonal oppression. The oppressed strike out at their own comrades because "the oppressor exists within their oppressed comrades." Internalized oppression becomes externalized, directed not upward but sideways.</w:t>
      </w:r>
    </w:p>
    <w:p w14:paraId="1C260683" w14:textId="77777777" w:rsidR="006D2103" w:rsidRDefault="00B945BE">
      <w:pPr>
        <w:spacing w:before="100" w:after="100" w:line="300" w:lineRule="auto"/>
        <w:ind w:left="1080"/>
      </w:pPr>
      <w:r>
        <w:rPr>
          <w:color w:val="2D2D2D"/>
        </w:rPr>
        <w:t>Freire’s "limit-situations" are the boundaries of imposed reality. His "untested feasibility" is what lies beyond them: the unrealized possibility that becomes visible only when the imposed boundary is seen as imposed rather than given. Overexplored identity is a limit-situation. Underexplored identity is the untested feasibility.</w:t>
      </w:r>
    </w:p>
    <w:p w14:paraId="79D47E7E" w14:textId="77777777" w:rsidR="006D2103" w:rsidRDefault="00B945BE">
      <w:pPr>
        <w:spacing w:before="100" w:after="100" w:line="300" w:lineRule="auto"/>
        <w:ind w:left="1080"/>
      </w:pPr>
      <w:r>
        <w:rPr>
          <w:color w:val="2D2D2D"/>
        </w:rPr>
        <w:t>Freire’s "banking education" is the content-first curriculum this paper has spent its first hundred pages critiquing. Teachers depositing information into passive students. Knowledge as a gift from those who consider themselves knowledgeable to those they consider ignorant.</w:t>
      </w:r>
    </w:p>
    <w:p w14:paraId="68059CBC" w14:textId="77777777" w:rsidR="006D2103" w:rsidRDefault="00B945BE">
      <w:pPr>
        <w:spacing w:before="120" w:after="100" w:line="300" w:lineRule="auto"/>
        <w:ind w:left="720"/>
      </w:pPr>
      <w:r>
        <w:rPr>
          <w:b/>
          <w:bCs/>
          <w:color w:val="2D2D2D"/>
        </w:rPr>
        <w:t>Give Freire full credit. He is the root system. What follows is not a correction but a generalization.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6D2103" w14:paraId="60D626A7" w14:textId="77777777">
        <w:tblPrEx>
          <w:tblCellMar>
            <w:top w:w="0" w:type="dxa"/>
            <w:bottom w:w="0" w:type="dxa"/>
          </w:tblCellMar>
        </w:tblPrEx>
        <w:tc>
          <w:tcPr>
            <w:tcW w:w="80" w:type="dxa"/>
            <w:shd w:val="clear" w:color="auto" w:fill="4A6FA5"/>
          </w:tcPr>
          <w:p w14:paraId="3A5AC6F7" w14:textId="77777777" w:rsidR="006D2103" w:rsidRDefault="006D2103"/>
        </w:tc>
        <w:tc>
          <w:tcPr>
            <w:tcW w:w="9280" w:type="dxa"/>
            <w:shd w:val="clear" w:color="auto" w:fill="EDF2F7"/>
            <w:tcMar>
              <w:top w:w="100" w:type="dxa"/>
              <w:left w:w="180" w:type="dxa"/>
              <w:bottom w:w="100" w:type="dxa"/>
              <w:right w:w="180" w:type="dxa"/>
            </w:tcMar>
          </w:tcPr>
          <w:p w14:paraId="478FD66F" w14:textId="77777777" w:rsidR="006D2103" w:rsidRDefault="00B945BE">
            <w:pPr>
              <w:spacing w:after="50"/>
            </w:pPr>
            <w:r>
              <w:rPr>
                <w:b/>
                <w:bCs/>
                <w:color w:val="4A6FA5"/>
                <w:sz w:val="19"/>
                <w:szCs w:val="19"/>
              </w:rPr>
              <w:t>Sources</w:t>
            </w:r>
          </w:p>
          <w:p w14:paraId="74223EF5" w14:textId="77777777" w:rsidR="006D2103" w:rsidRDefault="00B945BE">
            <w:pPr>
              <w:spacing w:line="276" w:lineRule="auto"/>
            </w:pPr>
            <w:r>
              <w:rPr>
                <w:color w:val="4A5568"/>
                <w:sz w:val="20"/>
                <w:szCs w:val="20"/>
              </w:rPr>
              <w:t>Freire, Pedagogy of the Oppressed (1970), Chapter 1 primarily. Direct quotes from pp. 47 (prescription), 47 (internalization), 62 (horizontal violence). Limit-situations from Chapter 3, pp. 99-102 (via Vieira Pinto). Banking education from Chapter 2, pp. 72-79.</w:t>
            </w:r>
          </w:p>
        </w:tc>
      </w:tr>
    </w:tbl>
    <w:p w14:paraId="1295B301" w14:textId="77777777" w:rsidR="006D2103" w:rsidRDefault="006D2103">
      <w:pPr>
        <w:spacing w:before="80"/>
      </w:pPr>
    </w:p>
    <w:p w14:paraId="1400FB24" w14:textId="77777777" w:rsidR="006D2103" w:rsidRDefault="006D2103">
      <w:pPr>
        <w:pBdr>
          <w:bottom w:val="single" w:sz="3" w:space="0" w:color="CBD5E0"/>
        </w:pBdr>
        <w:spacing w:before="180" w:after="180"/>
      </w:pPr>
    </w:p>
    <w:p w14:paraId="04AF5C63" w14:textId="77777777" w:rsidR="006D2103" w:rsidRDefault="00B945BE">
      <w:pPr>
        <w:spacing w:before="240" w:after="100" w:line="300" w:lineRule="auto"/>
        <w:ind w:left="360"/>
      </w:pPr>
      <w:r>
        <w:rPr>
          <w:b/>
          <w:bCs/>
          <w:color w:val="2D2D2D"/>
          <w:sz w:val="23"/>
          <w:szCs w:val="23"/>
        </w:rPr>
        <w:t>D+E.2 — Where Freire Stops and This Framework Continues</w:t>
      </w:r>
    </w:p>
    <w:p w14:paraId="5678004E" w14:textId="77777777" w:rsidR="006D2103" w:rsidRDefault="00B945BE">
      <w:pPr>
        <w:spacing w:before="100" w:after="100" w:line="300" w:lineRule="auto"/>
        <w:ind w:left="720"/>
      </w:pPr>
      <w:r>
        <w:rPr>
          <w:color w:val="2D2D2D"/>
        </w:rPr>
        <w:t>Freire worked within a Marxist class framework. His oppressor and oppressed are socioeconomic positions. The prescriber is always identifiable: the landowner, the colonizer, the ruling class. Liberation is collective and political. The pedagogy is forged "with, not for, the oppressed" in their struggle to transform the concrete situation of oppression.</w:t>
      </w:r>
    </w:p>
    <w:p w14:paraId="54B08EF8" w14:textId="77777777" w:rsidR="006D2103" w:rsidRDefault="00B945BE">
      <w:pPr>
        <w:spacing w:before="120" w:after="100" w:line="300" w:lineRule="auto"/>
        <w:ind w:left="720"/>
      </w:pPr>
      <w:r>
        <w:rPr>
          <w:b/>
          <w:bCs/>
          <w:color w:val="4A5568"/>
          <w:sz w:val="20"/>
          <w:szCs w:val="20"/>
        </w:rPr>
        <w:t>Three extensions beyond Freire:</w:t>
      </w:r>
    </w:p>
    <w:p w14:paraId="1469A9BF" w14:textId="77777777" w:rsidR="006D2103" w:rsidRDefault="00B945BE">
      <w:pPr>
        <w:spacing w:before="100" w:after="100" w:line="300" w:lineRule="auto"/>
        <w:ind w:left="1080"/>
      </w:pPr>
      <w:r>
        <w:rPr>
          <w:color w:val="2D2D2D"/>
        </w:rPr>
        <w:t xml:space="preserve">First: the mechanism generalizes beyond class. Freire needs an identifiable oppressor. This framework does not. A student who believes she is "not a math person" has had her cognitive reality defined for her without a class-based prescriber. The meaning arrived through accumulated cultural signals, teacher expectations, peer comparisons, standardized test results. No single consciousness authored the imposition. It scaled through the same mechanism Freire describes (prescription, </w:t>
      </w:r>
      <w:r>
        <w:rPr>
          <w:color w:val="2D2D2D"/>
        </w:rPr>
        <w:lastRenderedPageBreak/>
        <w:t>internalization, reproduction) but without a colonial or class structure to locate the source. If the mechanism is real, it operates everywhere meaning is imposed, not only where an oppressor class can be named.</w:t>
      </w:r>
    </w:p>
    <w:p w14:paraId="34A1BC36" w14:textId="77777777" w:rsidR="006D2103" w:rsidRDefault="00B945BE">
      <w:pPr>
        <w:spacing w:before="100" w:after="100" w:line="300" w:lineRule="auto"/>
        <w:ind w:left="1080"/>
      </w:pPr>
      <w:r>
        <w:rPr>
          <w:color w:val="2D2D2D"/>
        </w:rPr>
        <w:t>Second: the compartments formalize what Freire described but never systematized. He saw internalization. He saw horizontal violence. He saw the cycle. But he did not name the three channels as the only three pathways through which cognitive oppression moves. This framework does: internalized (self constraining self), externalized (self constraining other through communication), interpersonal (other’s constraints entering the self). Every form of imposed meaning, whether it originates in a class structure, a</w:t>
      </w:r>
      <w:r>
        <w:rPr>
          <w:color w:val="2D2D2D"/>
        </w:rPr>
        <w:t xml:space="preserve"> cultural norm, or an individual’s unexamined belief, travels through one or more of these channels. Formalizing them makes the mechanism diagnosable and, eventually, addressable through specific metacognitive habits.</w:t>
      </w:r>
    </w:p>
    <w:p w14:paraId="3BBE2375" w14:textId="77777777" w:rsidR="006D2103" w:rsidRDefault="00B945BE">
      <w:pPr>
        <w:spacing w:before="100" w:after="100" w:line="300" w:lineRule="auto"/>
        <w:ind w:left="1080"/>
      </w:pPr>
      <w:r>
        <w:rPr>
          <w:color w:val="2D2D2D"/>
        </w:rPr>
        <w:t>Third, and most importantly: the project is different. Freire’s project is collective political liberation through praxis (the inseparable unity of reflection and action on the world). This framework’s project is individual cognitive sovereignty through metacognition. The distinction matters. For Freire, reflection without action is "verbalism" and action without reflection is "activism." Neither is authentic praxis. He would ask: where does the student act on the world? Where does internal examination beco</w:t>
      </w:r>
      <w:r>
        <w:rPr>
          <w:color w:val="2D2D2D"/>
        </w:rPr>
        <w:t>me external transformation?</w:t>
      </w:r>
    </w:p>
    <w:p w14:paraId="0863100E" w14:textId="77777777" w:rsidR="006D2103" w:rsidRDefault="00B945BE">
      <w:pPr>
        <w:spacing w:before="100" w:after="100" w:line="300" w:lineRule="auto"/>
        <w:ind w:left="1080"/>
      </w:pPr>
      <w:r>
        <w:rPr>
          <w:color w:val="2D2D2D"/>
        </w:rPr>
        <w:t>The answer is honest and direct: that is not the purpose of this curriculum. Self-emancipation from the self is a complete project. A student who achieves metacognitive cogniscience and chooses to become a revolutionary is no more successful than a classmate who achieves the same cogniscience and chooses to remain a farmer. The measure is not what you do with the awareness. The measure is whether the awareness exists, whether the choice was examined rather than inherited, whether the reality you live inside</w:t>
      </w:r>
      <w:r>
        <w:rPr>
          <w:color w:val="2D2D2D"/>
        </w:rPr>
        <w:t xml:space="preserve"> is one you have consciously engaged with or one that was installed before you had the tools to see it.</w:t>
      </w:r>
    </w:p>
    <w:p w14:paraId="5B6BA6AD" w14:textId="77777777" w:rsidR="006D2103" w:rsidRDefault="00B945BE">
      <w:pPr>
        <w:spacing w:before="100" w:after="100" w:line="300" w:lineRule="auto"/>
        <w:ind w:left="1080"/>
      </w:pPr>
      <w:r>
        <w:rPr>
          <w:color w:val="2D2D2D"/>
        </w:rPr>
        <w:t>Freire’s praxis is one form of metacognitive engagement with the world. It is not the only form. Conscious farming is another. Conscious artmaking is another. Conscious parenting is another. What they share is that the consciousness doing the farming, the art, or the parenting has examined the meanings imposed on it and made deliberate choices about which to keep, which to revise, and which to reject. The curriculum builds that capacity. What students do with it is their sovereignty.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6D2103" w14:paraId="67FEA313" w14:textId="77777777">
        <w:tblPrEx>
          <w:tblCellMar>
            <w:top w:w="0" w:type="dxa"/>
            <w:bottom w:w="0" w:type="dxa"/>
          </w:tblCellMar>
        </w:tblPrEx>
        <w:tc>
          <w:tcPr>
            <w:tcW w:w="80" w:type="dxa"/>
            <w:shd w:val="clear" w:color="auto" w:fill="8B6914"/>
          </w:tcPr>
          <w:p w14:paraId="4BE62086" w14:textId="77777777" w:rsidR="006D2103" w:rsidRDefault="006D2103"/>
        </w:tc>
        <w:tc>
          <w:tcPr>
            <w:tcW w:w="9280" w:type="dxa"/>
            <w:shd w:val="clear" w:color="auto" w:fill="FBF7ED"/>
            <w:tcMar>
              <w:top w:w="100" w:type="dxa"/>
              <w:left w:w="180" w:type="dxa"/>
              <w:bottom w:w="100" w:type="dxa"/>
              <w:right w:w="180" w:type="dxa"/>
            </w:tcMar>
          </w:tcPr>
          <w:p w14:paraId="567AA12D" w14:textId="77777777" w:rsidR="006D2103" w:rsidRDefault="00B945BE">
            <w:pPr>
              <w:spacing w:after="50"/>
            </w:pPr>
            <w:r>
              <w:rPr>
                <w:b/>
                <w:bCs/>
                <w:color w:val="8B6914"/>
                <w:sz w:val="19"/>
                <w:szCs w:val="19"/>
              </w:rPr>
              <w:t>Why this matters for the committee</w:t>
            </w:r>
          </w:p>
          <w:p w14:paraId="398615C9" w14:textId="77777777" w:rsidR="006D2103" w:rsidRDefault="00B945BE">
            <w:pPr>
              <w:spacing w:line="276" w:lineRule="auto"/>
            </w:pPr>
            <w:r>
              <w:rPr>
                <w:color w:val="4A5568"/>
                <w:sz w:val="20"/>
                <w:szCs w:val="20"/>
              </w:rPr>
              <w:t>A Freirean on the committee will respect the lineage and push on the departure. The answer above is not a dodge. It is a principled reorientation. Freire’s project assumed that the purpose of education is political transformation. Your project assumes that the purpose of education is cognitive self-determination, and that political transformation is one possible (but not necessary) expression of it. That is a defensible philosophical position. Name it as such.</w:t>
            </w:r>
          </w:p>
        </w:tc>
      </w:tr>
    </w:tbl>
    <w:p w14:paraId="2EC2EEB0" w14:textId="77777777" w:rsidR="006D2103" w:rsidRDefault="006D2103">
      <w:pPr>
        <w:spacing w:before="80"/>
      </w:pPr>
    </w:p>
    <w:p w14:paraId="074BA72A" w14:textId="77777777" w:rsidR="006D2103" w:rsidRDefault="006D2103">
      <w:pPr>
        <w:pBdr>
          <w:bottom w:val="single" w:sz="3" w:space="0" w:color="CBD5E0"/>
        </w:pBdr>
        <w:spacing w:before="180" w:after="180"/>
      </w:pPr>
    </w:p>
    <w:p w14:paraId="7C58A5D5" w14:textId="77777777" w:rsidR="006D2103" w:rsidRDefault="00B945BE">
      <w:pPr>
        <w:spacing w:before="240" w:after="100" w:line="300" w:lineRule="auto"/>
        <w:ind w:left="360"/>
      </w:pPr>
      <w:r>
        <w:rPr>
          <w:b/>
          <w:bCs/>
          <w:color w:val="2D2D2D"/>
          <w:sz w:val="23"/>
          <w:szCs w:val="23"/>
        </w:rPr>
        <w:t>D+E.3 — The Cycle</w:t>
      </w:r>
    </w:p>
    <w:p w14:paraId="6FDEE9B1" w14:textId="77777777" w:rsidR="006D2103" w:rsidRDefault="00B945BE">
      <w:pPr>
        <w:spacing w:before="100" w:after="100" w:line="300" w:lineRule="auto"/>
        <w:ind w:left="720"/>
      </w:pPr>
      <w:r>
        <w:rPr>
          <w:color w:val="2D2D2D"/>
        </w:rPr>
        <w:t>Now map the mechanics. This is where the three compartments do their work, not as standalone philosophical categories but as the moving parts of a cycle that connects individual cognition to institutional structures and back.</w:t>
      </w:r>
    </w:p>
    <w:p w14:paraId="55B81B51" w14:textId="77777777" w:rsidR="006D2103" w:rsidRDefault="00B945BE">
      <w:pPr>
        <w:spacing w:before="120" w:after="100" w:line="300" w:lineRule="auto"/>
        <w:ind w:left="720"/>
      </w:pPr>
      <w:r>
        <w:rPr>
          <w:b/>
          <w:bCs/>
          <w:color w:val="4A5568"/>
          <w:sz w:val="20"/>
          <w:szCs w:val="20"/>
        </w:rPr>
        <w:t>The cycle moves in four stages:</w:t>
      </w:r>
    </w:p>
    <w:p w14:paraId="12FCE18C" w14:textId="77777777" w:rsidR="006D2103" w:rsidRDefault="00B945BE">
      <w:pPr>
        <w:spacing w:before="100" w:after="100" w:line="300" w:lineRule="auto"/>
        <w:ind w:left="1080"/>
      </w:pPr>
      <w:r>
        <w:rPr>
          <w:color w:val="2D2D2D"/>
        </w:rPr>
        <w:t>Stage 1: Internalization. A consciousness absorbs imposed meanings without examining them. These may arrive from family, culture, media, schooling, or the accumulated residue of institutional history. The meanings settle into the cognitive architecture as though they are self-evident. The student does not know she is carrying them. Freire: "so often do they hear that they are good for nothing, know nothing and are incapable of learning anything, that in the end they become convinced of their own unfitness."</w:t>
      </w:r>
    </w:p>
    <w:p w14:paraId="0A6579A6" w14:textId="77777777" w:rsidR="006D2103" w:rsidRDefault="00B945BE">
      <w:pPr>
        <w:spacing w:before="100" w:after="100" w:line="300" w:lineRule="auto"/>
        <w:ind w:left="1080"/>
      </w:pPr>
      <w:r>
        <w:rPr>
          <w:color w:val="2D2D2D"/>
        </w:rPr>
        <w:t>Stage 2: Externalization. The consciousness, now carrying unexamined meanings, projects them outward through communication, behavior, assumptions, and unconscious filtering. A teacher who has internalized low expectations for a particular group of students externalizes those expectations through the questions she asks, the patience she extends, the opportunities she offers. She may not be aware she is doing it. The externalization is filtered through her own biases and arrives in the world as a new act of m</w:t>
      </w:r>
      <w:r>
        <w:rPr>
          <w:color w:val="2D2D2D"/>
        </w:rPr>
        <w:t>eaning-imposition.</w:t>
      </w:r>
    </w:p>
    <w:p w14:paraId="71F89B36" w14:textId="77777777" w:rsidR="006D2103" w:rsidRDefault="00B945BE">
      <w:pPr>
        <w:spacing w:before="100" w:after="100" w:line="300" w:lineRule="auto"/>
        <w:ind w:left="1080"/>
      </w:pPr>
      <w:r>
        <w:rPr>
          <w:color w:val="2D2D2D"/>
        </w:rPr>
        <w:t>Stage 3: Institutional accumulation. When enough consciousnesses externalize the same imposed meanings, those meanings harden into structures. Policies, laws, norms, curricula, assessment systems, hiring practices. The structure persists independently of any single consciousness. The redlining map from 1935 still shapes neighborhood wealth in 2026. No living consciousness authored it. But the accumulated externalizations of thousands of past consciousnesses are encoded in the institution, and the institutio</w:t>
      </w:r>
      <w:r>
        <w:rPr>
          <w:color w:val="2D2D2D"/>
        </w:rPr>
        <w:t>n continues to impose meaning on new consciousnesses without anyone actively choosing to do so.</w:t>
      </w:r>
    </w:p>
    <w:p w14:paraId="69675283" w14:textId="77777777" w:rsidR="006D2103" w:rsidRDefault="00B945BE">
      <w:pPr>
        <w:spacing w:before="100" w:after="100" w:line="300" w:lineRule="auto"/>
        <w:ind w:left="1080"/>
      </w:pPr>
      <w:r>
        <w:rPr>
          <w:color w:val="2D2D2D"/>
        </w:rPr>
        <w:t>Stage 4: Interpersonal re-entry. The institutional structure, now operating on its own momentum, imposes meaning on new consciousnesses through interpersonal channels. A child enters a school built on content-first assumptions, sorted by age-graded cohorts, assessed through standardized instruments. The school’s structure carries the accumulated cognitive constraints of every consciousness that built it. Those constraints enter the child as interpersonal oppression: other people’s externalized meanings, sca</w:t>
      </w:r>
      <w:r>
        <w:rPr>
          <w:color w:val="2D2D2D"/>
        </w:rPr>
        <w:t>led through institutions, arriving as the new child’s internalized reality. The cycle restarts.</w:t>
      </w:r>
    </w:p>
    <w:p w14:paraId="3BD55B02" w14:textId="77777777" w:rsidR="006D2103" w:rsidRDefault="00B945BE">
      <w:pPr>
        <w:spacing w:before="120" w:after="100" w:line="300" w:lineRule="auto"/>
        <w:ind w:left="720"/>
      </w:pPr>
      <w:r>
        <w:rPr>
          <w:color w:val="2D2D2D"/>
        </w:rPr>
        <w:t xml:space="preserve">This is the full loop. Individuals internalize. Individuals externalize. Institutions accumulate. Institutions impose on new individuals. This is how a single person’s private </w:t>
      </w:r>
      <w:r>
        <w:rPr>
          <w:color w:val="2D2D2D"/>
        </w:rPr>
        <w:lastRenderedPageBreak/>
        <w:t>bias becomes Jim Crow across centuries, and it is also how a single teacher’s unexamined assumption about "math people" becomes a student’s unexamined belief about herself across a single school year. The mechanism is the same. The scale differs.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6D2103" w14:paraId="7213A0C6" w14:textId="77777777">
        <w:tblPrEx>
          <w:tblCellMar>
            <w:top w:w="0" w:type="dxa"/>
            <w:bottom w:w="0" w:type="dxa"/>
          </w:tblCellMar>
        </w:tblPrEx>
        <w:tc>
          <w:tcPr>
            <w:tcW w:w="80" w:type="dxa"/>
            <w:shd w:val="clear" w:color="auto" w:fill="4A6FA5"/>
          </w:tcPr>
          <w:p w14:paraId="03113964" w14:textId="77777777" w:rsidR="006D2103" w:rsidRDefault="006D2103"/>
        </w:tc>
        <w:tc>
          <w:tcPr>
            <w:tcW w:w="9280" w:type="dxa"/>
            <w:shd w:val="clear" w:color="auto" w:fill="EDF2F7"/>
            <w:tcMar>
              <w:top w:w="100" w:type="dxa"/>
              <w:left w:w="180" w:type="dxa"/>
              <w:bottom w:w="100" w:type="dxa"/>
              <w:right w:w="180" w:type="dxa"/>
            </w:tcMar>
          </w:tcPr>
          <w:p w14:paraId="46D366C0" w14:textId="77777777" w:rsidR="006D2103" w:rsidRDefault="00B945BE">
            <w:pPr>
              <w:spacing w:after="50"/>
            </w:pPr>
            <w:r>
              <w:rPr>
                <w:b/>
                <w:bCs/>
                <w:color w:val="4A6FA5"/>
                <w:sz w:val="19"/>
                <w:szCs w:val="19"/>
              </w:rPr>
              <w:t>Research citations for the cycle</w:t>
            </w:r>
          </w:p>
          <w:p w14:paraId="3719C126" w14:textId="77777777" w:rsidR="006D2103" w:rsidRDefault="00B945BE">
            <w:pPr>
              <w:spacing w:line="276" w:lineRule="auto"/>
            </w:pPr>
            <w:r>
              <w:rPr>
                <w:color w:val="4A5568"/>
                <w:sz w:val="20"/>
                <w:szCs w:val="20"/>
              </w:rPr>
              <w:t>Internalization: E.J.R. David, Internalized Oppression: The Psychology of Marginalized Groups (2013). David et al., systematic review in Journal of Social Issues (2019). Deaf oppression study in Nature Scientific Reports (2025) showing the mechanism operates across identity categories, not within a single one. Freire (1970) on internalization of the oppressor.  Externalization/Interpersonal: Nadal (2018) on microaggressions as interpersonal manifestations of systemic bias. Steele &amp; Aronson (1995) on stereot</w:t>
            </w:r>
            <w:r>
              <w:rPr>
                <w:color w:val="4A5568"/>
                <w:sz w:val="20"/>
                <w:szCs w:val="20"/>
              </w:rPr>
              <w:t>ype threat as the empirical demonstration of interpersonal oppression: the awareness that a stereotype exists degrades cognitive performance even when the person does not believe the stereotype.  Metacognition as intervention: Gutierrez de Blume (2023) finding that metacognitive awareness (specifically comprehension monitoring and debugging) predicted decreases in implicit bias. This is direct empirical evidence that metacognition interrupts the cycle at the externalization stage.</w:t>
            </w:r>
          </w:p>
        </w:tc>
      </w:tr>
    </w:tbl>
    <w:p w14:paraId="760BC131" w14:textId="77777777" w:rsidR="006D2103" w:rsidRDefault="006D2103">
      <w:pPr>
        <w:spacing w:before="80"/>
      </w:pPr>
    </w:p>
    <w:p w14:paraId="3BFF58FB" w14:textId="77777777" w:rsidR="006D2103" w:rsidRDefault="006D2103">
      <w:pPr>
        <w:pBdr>
          <w:bottom w:val="single" w:sz="3" w:space="0" w:color="CBD5E0"/>
        </w:pBdr>
        <w:spacing w:before="180" w:after="180"/>
      </w:pPr>
    </w:p>
    <w:p w14:paraId="4E05697A" w14:textId="77777777" w:rsidR="006D2103" w:rsidRDefault="00B945BE">
      <w:pPr>
        <w:spacing w:before="240" w:after="100" w:line="300" w:lineRule="auto"/>
        <w:ind w:left="360"/>
      </w:pPr>
      <w:r>
        <w:rPr>
          <w:b/>
          <w:bCs/>
          <w:color w:val="2D2D2D"/>
          <w:sz w:val="23"/>
          <w:szCs w:val="23"/>
        </w:rPr>
        <w:t>D+E.4 — The Response</w:t>
      </w:r>
    </w:p>
    <w:p w14:paraId="40AC546C" w14:textId="77777777" w:rsidR="006D2103" w:rsidRDefault="00B945BE">
      <w:pPr>
        <w:spacing w:before="100" w:after="100" w:line="300" w:lineRule="auto"/>
        <w:ind w:left="720"/>
      </w:pPr>
      <w:r>
        <w:rPr>
          <w:color w:val="2D2D2D"/>
        </w:rPr>
        <w:t>The cycle is self-sustaining. Without intervention, it reproduces itself. Each generation inherits the imposed meanings of the last, externalizes them, and passes them to the next. The question is where to intervene.</w:t>
      </w:r>
    </w:p>
    <w:p w14:paraId="2E2F8AAD" w14:textId="77777777" w:rsidR="006D2103" w:rsidRDefault="00B945BE">
      <w:pPr>
        <w:spacing w:before="100" w:after="100" w:line="300" w:lineRule="auto"/>
        <w:ind w:left="720"/>
      </w:pPr>
      <w:r>
        <w:rPr>
          <w:color w:val="2D2D2D"/>
        </w:rPr>
        <w:t>Political intervention targets Stage 3 (institutional accumulation). Pass a law. Change a policy. Restructure a system. This is necessary, and nothing in this framework suggests otherwise. Jim Crow did not end through metacognition. It ended through legislation, protest, legal challenge, and political organization. Anti-racist pedagogy, civil rights advocacy, disability rights movements: all of these target the institutional stage of the cycle, and all of them have produced real, material, life-changing res</w:t>
      </w:r>
      <w:r>
        <w:rPr>
          <w:color w:val="2D2D2D"/>
        </w:rPr>
        <w:t>ults.</w:t>
      </w:r>
    </w:p>
    <w:p w14:paraId="70E7E7B6" w14:textId="77777777" w:rsidR="006D2103" w:rsidRDefault="00B945BE">
      <w:pPr>
        <w:spacing w:before="100" w:after="100" w:line="300" w:lineRule="auto"/>
        <w:ind w:left="720"/>
      </w:pPr>
      <w:r>
        <w:rPr>
          <w:color w:val="2D2D2D"/>
        </w:rPr>
        <w:t xml:space="preserve">But political intervention alone is structurally incomplete. It changes the institution without changing the consciousnesses that built it and that continue to feed it. A law can end segregation. It cannot end the cognitive constraints that produced segregation in the first place. Those constraints persist inside individual consciousnesses, continuing to externalize through interpersonal channels, continuing to accumulate in new institutional forms. The cycle repairs itself unless it is also interrupted at </w:t>
      </w:r>
      <w:r>
        <w:rPr>
          <w:color w:val="2D2D2D"/>
        </w:rPr>
        <w:t>the individual level.</w:t>
      </w:r>
    </w:p>
    <w:p w14:paraId="0BB11B4B" w14:textId="77777777" w:rsidR="006D2103" w:rsidRDefault="00B945BE">
      <w:pPr>
        <w:spacing w:before="100" w:after="100" w:line="300" w:lineRule="auto"/>
        <w:ind w:left="720"/>
      </w:pPr>
      <w:r>
        <w:rPr>
          <w:color w:val="2D2D2D"/>
        </w:rPr>
        <w:t xml:space="preserve">Metacognitive intervention targets Stages 1 and 2 (internalization and externalization). It gives a consciousness the tools to detect the imposed meanings it carries (endospection, refraction), to examine where those meanings came from and how they filter communication (refracture), to model how other consciousnesses carry different imposed meanings (exospection), and to construct new meanings through deliberate </w:t>
      </w:r>
      <w:r>
        <w:rPr>
          <w:color w:val="2D2D2D"/>
        </w:rPr>
        <w:lastRenderedPageBreak/>
        <w:t>synthesis rather than unconscious inheritance. It does not eliminate oppression. It gives the individual agency within it.</w:t>
      </w:r>
    </w:p>
    <w:p w14:paraId="2470CE8F" w14:textId="77777777" w:rsidR="006D2103" w:rsidRDefault="00B945BE">
      <w:pPr>
        <w:spacing w:before="100" w:after="100" w:line="300" w:lineRule="auto"/>
        <w:ind w:left="720"/>
      </w:pPr>
      <w:r>
        <w:rPr>
          <w:color w:val="2D2D2D"/>
        </w:rPr>
        <w:t>The metaphor is a current. Everyone is swimming in an ocean of imposed meaning. Anti-racist pedagogy swims against one current. Disability advocacy swims against another. Class-based organizing swims against another. Each of these is necessary. Each addresses a specific scaled imposition. Metacognition does not swim against any single current. Metacognition is learning how to swim. The ocean is infinite. No one escapes it. But a consciousness that knows it is in a current, knows the current’s direction, and</w:t>
      </w:r>
      <w:r>
        <w:rPr>
          <w:color w:val="2D2D2D"/>
        </w:rPr>
        <w:t xml:space="preserve"> can make conscious choices about when to swim with it, against it, or across it is a consciousness that has achieved something the cycle alone cannot produce: cognitive sovereignty.</w:t>
      </w:r>
    </w:p>
    <w:p w14:paraId="16B11446" w14:textId="77777777" w:rsidR="006D2103" w:rsidRDefault="00B945BE">
      <w:pPr>
        <w:spacing w:before="100" w:after="100" w:line="300" w:lineRule="auto"/>
        <w:ind w:left="720"/>
      </w:pPr>
      <w:r>
        <w:rPr>
          <w:color w:val="2D2D2D"/>
        </w:rPr>
        <w:t>Douglass could not vote, could not hold office, could not walk into a white church. But his metacognitive capacity gave him the internal freedom to think beyond his material circumstances. That is what made him Douglass rather than one of the informants who betrayed Gabriel. Both were inside the same current. One was swimming. Awareness of oppression does not end oppression. But it transforms the relationship between the consciousness and the imposition. The definition is seen as a definition rather than as</w:t>
      </w:r>
      <w:r>
        <w:rPr>
          <w:color w:val="2D2D2D"/>
        </w:rPr>
        <w:t xml:space="preserve"> truth. That is cognitive sovereignty.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6D2103" w14:paraId="2E5F0EC0" w14:textId="77777777">
        <w:tblPrEx>
          <w:tblCellMar>
            <w:top w:w="0" w:type="dxa"/>
            <w:bottom w:w="0" w:type="dxa"/>
          </w:tblCellMar>
        </w:tblPrEx>
        <w:tc>
          <w:tcPr>
            <w:tcW w:w="80" w:type="dxa"/>
            <w:shd w:val="clear" w:color="auto" w:fill="9B4D4D"/>
          </w:tcPr>
          <w:p w14:paraId="2263907B" w14:textId="77777777" w:rsidR="006D2103" w:rsidRDefault="006D2103"/>
        </w:tc>
        <w:tc>
          <w:tcPr>
            <w:tcW w:w="9280" w:type="dxa"/>
            <w:shd w:val="clear" w:color="auto" w:fill="FDF2F2"/>
            <w:tcMar>
              <w:top w:w="100" w:type="dxa"/>
              <w:left w:w="180" w:type="dxa"/>
              <w:bottom w:w="100" w:type="dxa"/>
              <w:right w:w="180" w:type="dxa"/>
            </w:tcMar>
          </w:tcPr>
          <w:p w14:paraId="60AA8A5C" w14:textId="77777777" w:rsidR="006D2103" w:rsidRDefault="00B945BE">
            <w:pPr>
              <w:spacing w:after="50"/>
            </w:pPr>
            <w:r>
              <w:rPr>
                <w:b/>
                <w:bCs/>
                <w:color w:val="9B4D4D"/>
                <w:sz w:val="19"/>
                <w:szCs w:val="19"/>
              </w:rPr>
              <w:t>Stress test addressed here</w:t>
            </w:r>
          </w:p>
          <w:p w14:paraId="098AD6CC" w14:textId="77777777" w:rsidR="006D2103" w:rsidRDefault="00B945BE">
            <w:pPr>
              <w:spacing w:line="276" w:lineRule="auto"/>
            </w:pPr>
            <w:r>
              <w:rPr>
                <w:color w:val="4A5568"/>
                <w:sz w:val="20"/>
                <w:szCs w:val="20"/>
              </w:rPr>
              <w:t>The strongest objection ("you’re telling oppressed people to think harder") is preempted by the political intervention paragraph. You are not saying metacognition replaces political action. You are saying it addresses a different stage of the cycle. Both are necessary. MLK had both. Douglass had both. Marx had both. Your curriculum teaches the cognitive dimension. What students do with it is their conscious choice.</w:t>
            </w:r>
          </w:p>
        </w:tc>
      </w:tr>
    </w:tbl>
    <w:p w14:paraId="0FC5AFE6" w14:textId="77777777" w:rsidR="006D2103" w:rsidRDefault="006D2103">
      <w:pPr>
        <w:spacing w:before="80"/>
      </w:pPr>
    </w:p>
    <w:p w14:paraId="2DF9BD5C" w14:textId="77777777" w:rsidR="006D2103" w:rsidRDefault="006D2103">
      <w:pPr>
        <w:pBdr>
          <w:bottom w:val="single" w:sz="3" w:space="0" w:color="CBD5E0"/>
        </w:pBdr>
        <w:spacing w:before="180" w:after="180"/>
      </w:pPr>
    </w:p>
    <w:p w14:paraId="60E22BBE" w14:textId="77777777" w:rsidR="006D2103" w:rsidRDefault="00B945BE">
      <w:pPr>
        <w:spacing w:before="240" w:after="100" w:line="300" w:lineRule="auto"/>
        <w:ind w:left="360"/>
      </w:pPr>
      <w:r>
        <w:rPr>
          <w:b/>
          <w:bCs/>
          <w:color w:val="2D2D2D"/>
          <w:sz w:val="23"/>
          <w:szCs w:val="23"/>
        </w:rPr>
        <w:t>D+E.5 — The Measure of Success</w:t>
      </w:r>
    </w:p>
    <w:p w14:paraId="5FB4F023" w14:textId="77777777" w:rsidR="006D2103" w:rsidRDefault="00B945BE">
      <w:pPr>
        <w:spacing w:before="100" w:after="100" w:line="300" w:lineRule="auto"/>
        <w:ind w:left="720"/>
      </w:pPr>
      <w:r>
        <w:rPr>
          <w:color w:val="2D2D2D"/>
        </w:rPr>
        <w:t>Brief passage (2-3 paragraphs) that names what success looks like in this framework, since it is explicitly different from Freire’s.</w:t>
      </w:r>
    </w:p>
    <w:p w14:paraId="3B6D5FEF" w14:textId="77777777" w:rsidR="006D2103" w:rsidRDefault="00B945BE">
      <w:pPr>
        <w:spacing w:before="100" w:after="100" w:line="300" w:lineRule="auto"/>
        <w:ind w:left="720"/>
      </w:pPr>
      <w:r>
        <w:rPr>
          <w:color w:val="2D2D2D"/>
        </w:rPr>
        <w:t>For Freire, success is collective liberation: the transformation of the concrete situation of oppression through praxis. For this framework, success is individual cognitive sovereignty: the capacity to examine the meanings imposed on you and make conscious choices about them. A student who achieves cogniscience and joins a revolution has succeeded. A student who achieves cogniscience and consciously chooses to farm has equally succeeded. A student who achieves cogniscience and decides, after examination, th</w:t>
      </w:r>
      <w:r>
        <w:rPr>
          <w:color w:val="2D2D2D"/>
        </w:rPr>
        <w:t>at the values she inherited are the values she endorses has also succeeded. The point is not the content of the choice. The point is that the choice was examined.</w:t>
      </w:r>
    </w:p>
    <w:p w14:paraId="6E0618E8" w14:textId="77777777" w:rsidR="006D2103" w:rsidRDefault="00B945BE">
      <w:pPr>
        <w:spacing w:before="100" w:after="100" w:line="300" w:lineRule="auto"/>
        <w:ind w:left="720"/>
      </w:pPr>
      <w:r>
        <w:rPr>
          <w:color w:val="2D2D2D"/>
        </w:rPr>
        <w:lastRenderedPageBreak/>
        <w:t>This is not relativism. It is not saying all choices are equally good. It is saying that the cognitive capacity to examine one’s choices is a prerequisite for any choice being authentically one’s own. A curriculum cannot determine what students will value. But it can determine whether students have the tools to examine what they value and why. That is the scope of what schools can teach. That is the scope of this curriculum.</w:t>
      </w:r>
    </w:p>
    <w:p w14:paraId="7AF66840" w14:textId="77777777" w:rsidR="006D2103" w:rsidRDefault="00B945BE">
      <w:pPr>
        <w:spacing w:before="100" w:after="100" w:line="300" w:lineRule="auto"/>
        <w:ind w:left="720"/>
      </w:pPr>
      <w:r>
        <w:rPr>
          <w:color w:val="2D2D2D"/>
        </w:rPr>
        <w:t>A system that orients itself around content coverage produces students who have absorbed meanings. A system that orients itself around metacognitive cogniscience produces students who can examine meanings. The first system is what American curriculum has been doing for 250 years. The second is what this paper proposes. Part 2 describes what it looks like.</w:t>
      </w:r>
    </w:p>
    <w:p w14:paraId="5A0A55B6" w14:textId="77777777" w:rsidR="006D2103" w:rsidRDefault="006D2103">
      <w:pPr>
        <w:spacing w:before="80"/>
      </w:pPr>
    </w:p>
    <w:p w14:paraId="598707B3" w14:textId="77777777" w:rsidR="006D2103" w:rsidRDefault="006D2103">
      <w:pPr>
        <w:pBdr>
          <w:bottom w:val="single" w:sz="3" w:space="0" w:color="CBD5E0"/>
        </w:pBdr>
        <w:spacing w:before="180" w:after="180"/>
      </w:pPr>
    </w:p>
    <w:p w14:paraId="2C3F3D0A" w14:textId="77777777" w:rsidR="006D2103" w:rsidRDefault="00B945BE">
      <w:pPr>
        <w:spacing w:before="240" w:after="100" w:line="300" w:lineRule="auto"/>
        <w:ind w:left="360"/>
      </w:pPr>
      <w:r>
        <w:rPr>
          <w:b/>
          <w:bCs/>
          <w:color w:val="2D2D2D"/>
          <w:sz w:val="23"/>
          <w:szCs w:val="23"/>
        </w:rPr>
        <w:t>D+E.6 — Closing</w:t>
      </w:r>
    </w:p>
    <w:p w14:paraId="11156866" w14:textId="77777777" w:rsidR="006D2103" w:rsidRDefault="00B945BE">
      <w:pPr>
        <w:spacing w:before="100" w:after="100" w:line="300" w:lineRule="auto"/>
        <w:ind w:left="720"/>
      </w:pPr>
      <w:r>
        <w:rPr>
          <w:color w:val="2D2D2D"/>
        </w:rPr>
        <w:t>One sentence. Possibly two. This is the end of Part 1.</w:t>
      </w:r>
    </w:p>
    <w:p w14:paraId="7D52DAA1" w14:textId="77777777" w:rsidR="006D2103" w:rsidRDefault="00B945BE">
      <w:pPr>
        <w:spacing w:before="100" w:after="100" w:line="300" w:lineRule="auto"/>
        <w:ind w:left="720"/>
      </w:pPr>
      <w:r>
        <w:rPr>
          <w:color w:val="2D2D2D"/>
        </w:rPr>
        <w:t>Metacognition is not natural. It is not easy. And it is not taught.</w:t>
      </w:r>
    </w:p>
    <w:p w14:paraId="6E9A60ED" w14:textId="77777777" w:rsidR="006D2103" w:rsidRDefault="00B945BE">
      <w:pPr>
        <w:spacing w:before="100" w:after="100" w:line="300" w:lineRule="auto"/>
        <w:ind w:left="720"/>
      </w:pPr>
      <w:r>
        <w:rPr>
          <w:color w:val="2D2D2D"/>
        </w:rPr>
        <w:t>That last sentence is the bridge to Part 2. Part 2 answers: what would it look like if it were?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6D2103" w14:paraId="27299A68" w14:textId="77777777">
        <w:tblPrEx>
          <w:tblCellMar>
            <w:top w:w="0" w:type="dxa"/>
            <w:bottom w:w="0" w:type="dxa"/>
          </w:tblCellMar>
        </w:tblPrEx>
        <w:tc>
          <w:tcPr>
            <w:tcW w:w="80" w:type="dxa"/>
            <w:shd w:val="clear" w:color="auto" w:fill="534AB7"/>
          </w:tcPr>
          <w:p w14:paraId="3385497A" w14:textId="77777777" w:rsidR="006D2103" w:rsidRDefault="006D2103"/>
        </w:tc>
        <w:tc>
          <w:tcPr>
            <w:tcW w:w="9280" w:type="dxa"/>
            <w:shd w:val="clear" w:color="auto" w:fill="EEEDFE"/>
            <w:tcMar>
              <w:top w:w="100" w:type="dxa"/>
              <w:left w:w="180" w:type="dxa"/>
              <w:bottom w:w="100" w:type="dxa"/>
              <w:right w:w="180" w:type="dxa"/>
            </w:tcMar>
          </w:tcPr>
          <w:p w14:paraId="1B609E05" w14:textId="77777777" w:rsidR="006D2103" w:rsidRDefault="00B945BE">
            <w:pPr>
              <w:spacing w:after="50"/>
            </w:pPr>
            <w:r>
              <w:rPr>
                <w:b/>
                <w:bCs/>
                <w:color w:val="534AB7"/>
                <w:sz w:val="19"/>
                <w:szCs w:val="19"/>
              </w:rPr>
              <w:t>From your Comment 13 on the outline</w:t>
            </w:r>
          </w:p>
          <w:p w14:paraId="649AF158" w14:textId="77777777" w:rsidR="006D2103" w:rsidRDefault="00B945BE">
            <w:pPr>
              <w:spacing w:line="276" w:lineRule="auto"/>
            </w:pPr>
            <w:r>
              <w:rPr>
                <w:color w:val="4A5568"/>
                <w:sz w:val="20"/>
                <w:szCs w:val="20"/>
              </w:rPr>
              <w:t>"But sometimes it’s way harder for someone to be able to even conceive of a reality (like the informant). Metacognition is not natural. It’s not easy. And it’s not taught." Held across the entire conversation for this moment.</w:t>
            </w:r>
          </w:p>
        </w:tc>
      </w:tr>
    </w:tbl>
    <w:p w14:paraId="02154EAB" w14:textId="77777777" w:rsidR="006D2103" w:rsidRDefault="00B945BE">
      <w:r>
        <w:br w:type="page"/>
      </w:r>
    </w:p>
    <w:p w14:paraId="0677A328" w14:textId="77777777" w:rsidR="006D2103" w:rsidRDefault="006D2103">
      <w:pPr>
        <w:pBdr>
          <w:bottom w:val="single" w:sz="3" w:space="0" w:color="8B6914"/>
        </w:pBdr>
        <w:spacing w:before="180" w:after="180"/>
      </w:pPr>
    </w:p>
    <w:p w14:paraId="36BAEF61" w14:textId="77777777" w:rsidR="006D2103" w:rsidRDefault="00B945BE">
      <w:pPr>
        <w:spacing w:before="200" w:after="100" w:line="300" w:lineRule="auto"/>
      </w:pPr>
      <w:r>
        <w:rPr>
          <w:b/>
          <w:bCs/>
          <w:color w:val="2D2D2D"/>
          <w:sz w:val="24"/>
          <w:szCs w:val="24"/>
        </w:rPr>
        <w:t>PROPORTION AND FLOW</w:t>
      </w:r>
    </w:p>
    <w:p w14:paraId="3C7E2F66" w14:textId="77777777" w:rsidR="006D2103" w:rsidRDefault="00B945BE">
      <w:pPr>
        <w:spacing w:before="80" w:after="100" w:line="300" w:lineRule="auto"/>
        <w:ind w:left="360"/>
      </w:pPr>
      <w:r>
        <w:rPr>
          <w:color w:val="4A5568"/>
          <w:sz w:val="20"/>
          <w:szCs w:val="20"/>
        </w:rPr>
        <w:t>D+E.1 (The Ancestor): ~15%. 3-4 paragraphs. The mapping should be rapid. One sentence per Freire concept, not one paragraph. The reader doesn’t need a Freire seminar. They need to see that this framework has roots.</w:t>
      </w:r>
    </w:p>
    <w:p w14:paraId="4FED3E6F" w14:textId="77777777" w:rsidR="006D2103" w:rsidRDefault="00B945BE">
      <w:pPr>
        <w:spacing w:before="80" w:after="100" w:line="300" w:lineRule="auto"/>
        <w:ind w:left="360"/>
      </w:pPr>
      <w:r>
        <w:rPr>
          <w:color w:val="4A5568"/>
          <w:sz w:val="20"/>
          <w:szCs w:val="20"/>
        </w:rPr>
        <w:t>D+E.2 (The Generalization): ~25%. The three extensions (beyond class, formalized compartments, different project) are the substance. The departure from Freire on praxis is the most important passage in the subsection. It should feel like a conscious, respectful step in a new direction, not a critique.</w:t>
      </w:r>
    </w:p>
    <w:p w14:paraId="5B81151E" w14:textId="77777777" w:rsidR="006D2103" w:rsidRDefault="00B945BE">
      <w:pPr>
        <w:spacing w:before="80" w:after="100" w:line="300" w:lineRule="auto"/>
        <w:ind w:left="360"/>
      </w:pPr>
      <w:r>
        <w:rPr>
          <w:color w:val="4A5568"/>
          <w:sz w:val="20"/>
          <w:szCs w:val="20"/>
        </w:rPr>
        <w:t>D+E.3 (The Cycle): ~25%. The four stages should move quickly. This is mechanics, not philosophy. Each stage gets one paragraph. The closing paragraph ("this is the full loop") ties it together. Citations land in a note or in parentheticals, not as their own paragraphs.</w:t>
      </w:r>
    </w:p>
    <w:p w14:paraId="02141637" w14:textId="77777777" w:rsidR="006D2103" w:rsidRDefault="00B945BE">
      <w:pPr>
        <w:spacing w:before="80" w:after="100" w:line="300" w:lineRule="auto"/>
        <w:ind w:left="360"/>
      </w:pPr>
      <w:r>
        <w:rPr>
          <w:color w:val="4A5568"/>
          <w:sz w:val="20"/>
          <w:szCs w:val="20"/>
        </w:rPr>
        <w:t>D+E.4 (The Response): ~25%. The political intervention paragraph is essential for credibility. The swimming metaphor is the centerpiece. The Douglass callback closes it.</w:t>
      </w:r>
    </w:p>
    <w:p w14:paraId="57A4E830" w14:textId="77777777" w:rsidR="006D2103" w:rsidRDefault="00B945BE">
      <w:pPr>
        <w:spacing w:before="80" w:after="100" w:line="300" w:lineRule="auto"/>
        <w:ind w:left="360"/>
      </w:pPr>
      <w:r>
        <w:rPr>
          <w:color w:val="4A5568"/>
          <w:sz w:val="20"/>
          <w:szCs w:val="20"/>
        </w:rPr>
        <w:t>D+E.5 (The Measure): ~8%. Brief. The farmer vs. revolutionary distinction is the key move. "Not relativism" paragraph prevents misreading.</w:t>
      </w:r>
    </w:p>
    <w:p w14:paraId="6C6C59B8" w14:textId="77777777" w:rsidR="006D2103" w:rsidRDefault="00B945BE">
      <w:pPr>
        <w:spacing w:before="80" w:after="100" w:line="300" w:lineRule="auto"/>
        <w:ind w:left="360"/>
      </w:pPr>
      <w:r>
        <w:rPr>
          <w:color w:val="4A5568"/>
          <w:sz w:val="20"/>
          <w:szCs w:val="20"/>
        </w:rPr>
        <w:t>D+E.6 (Closing): ~2%. One line. Maybe two. Then silence. Part 1 is over.</w:t>
      </w:r>
    </w:p>
    <w:p w14:paraId="13BAE859" w14:textId="77777777" w:rsidR="006D2103" w:rsidRDefault="006D2103">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6D2103" w14:paraId="3498422D" w14:textId="77777777">
        <w:tblPrEx>
          <w:tblCellMar>
            <w:top w:w="0" w:type="dxa"/>
            <w:bottom w:w="0" w:type="dxa"/>
          </w:tblCellMar>
        </w:tblPrEx>
        <w:tc>
          <w:tcPr>
            <w:tcW w:w="80" w:type="dxa"/>
            <w:shd w:val="clear" w:color="auto" w:fill="4A7C59"/>
          </w:tcPr>
          <w:p w14:paraId="04706598" w14:textId="77777777" w:rsidR="006D2103" w:rsidRDefault="006D2103"/>
        </w:tc>
        <w:tc>
          <w:tcPr>
            <w:tcW w:w="9280" w:type="dxa"/>
            <w:shd w:val="clear" w:color="auto" w:fill="EDF7ED"/>
            <w:tcMar>
              <w:top w:w="100" w:type="dxa"/>
              <w:left w:w="180" w:type="dxa"/>
              <w:bottom w:w="100" w:type="dxa"/>
              <w:right w:w="180" w:type="dxa"/>
            </w:tcMar>
          </w:tcPr>
          <w:p w14:paraId="66F621BA" w14:textId="77777777" w:rsidR="006D2103" w:rsidRDefault="00B945BE">
            <w:pPr>
              <w:spacing w:after="50"/>
            </w:pPr>
            <w:r>
              <w:rPr>
                <w:b/>
                <w:bCs/>
                <w:color w:val="4A7C59"/>
                <w:sz w:val="19"/>
                <w:szCs w:val="19"/>
              </w:rPr>
              <w:t>How this reads in sequence after Section C</w:t>
            </w:r>
          </w:p>
          <w:p w14:paraId="0B78CE8A" w14:textId="77777777" w:rsidR="006D2103" w:rsidRDefault="00B945BE">
            <w:pPr>
              <w:spacing w:line="276" w:lineRule="auto"/>
            </w:pPr>
            <w:r>
              <w:rPr>
                <w:color w:val="4A5568"/>
                <w:sz w:val="20"/>
                <w:szCs w:val="20"/>
              </w:rPr>
              <w:t>C.5 ends with: "What remains is the mechanism itself. Exposed, named, and unattached to any single category. The next question is how it operates inside a single consciousness."  D+E.1 picks up: Freire saw this first. Here is what he saw. (Mapping.) D+E.2 continues: Here is what he did not see. Here is where this framework extends beyond him. (Generalization + departure.) D+E.3 continues: Here is how the mechanism actually cycles. (Mechanics.) D+E.4 continues: Here is what to do about it. (The response.) D+</w:t>
            </w:r>
            <w:r>
              <w:rPr>
                <w:color w:val="4A5568"/>
                <w:sz w:val="20"/>
                <w:szCs w:val="20"/>
              </w:rPr>
              <w:t>E.5 continues: Here is what success looks like. (The measure.) D+E.6 closes: Metacognition is not natural. It is not easy. And it is not taught.  Then Part 2 begins.</w:t>
            </w:r>
          </w:p>
        </w:tc>
      </w:tr>
    </w:tbl>
    <w:p w14:paraId="502F7B1C" w14:textId="77777777" w:rsidR="00B945BE" w:rsidRDefault="00B945BE"/>
    <w:sectPr w:rsidR="00B945B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5A35CE"/>
    <w:multiLevelType w:val="hybridMultilevel"/>
    <w:tmpl w:val="DC867EA2"/>
    <w:lvl w:ilvl="0" w:tplc="95E29686">
      <w:start w:val="1"/>
      <w:numFmt w:val="bullet"/>
      <w:lvlText w:val="●"/>
      <w:lvlJc w:val="left"/>
      <w:pPr>
        <w:ind w:left="720" w:hanging="360"/>
      </w:pPr>
    </w:lvl>
    <w:lvl w:ilvl="1" w:tplc="1436D06A">
      <w:start w:val="1"/>
      <w:numFmt w:val="bullet"/>
      <w:lvlText w:val="○"/>
      <w:lvlJc w:val="left"/>
      <w:pPr>
        <w:ind w:left="1440" w:hanging="360"/>
      </w:pPr>
    </w:lvl>
    <w:lvl w:ilvl="2" w:tplc="19343046">
      <w:start w:val="1"/>
      <w:numFmt w:val="bullet"/>
      <w:lvlText w:val="■"/>
      <w:lvlJc w:val="left"/>
      <w:pPr>
        <w:ind w:left="2160" w:hanging="360"/>
      </w:pPr>
    </w:lvl>
    <w:lvl w:ilvl="3" w:tplc="4822A98E">
      <w:start w:val="1"/>
      <w:numFmt w:val="bullet"/>
      <w:lvlText w:val="●"/>
      <w:lvlJc w:val="left"/>
      <w:pPr>
        <w:ind w:left="2880" w:hanging="360"/>
      </w:pPr>
    </w:lvl>
    <w:lvl w:ilvl="4" w:tplc="500442C0">
      <w:start w:val="1"/>
      <w:numFmt w:val="bullet"/>
      <w:lvlText w:val="○"/>
      <w:lvlJc w:val="left"/>
      <w:pPr>
        <w:ind w:left="3600" w:hanging="360"/>
      </w:pPr>
    </w:lvl>
    <w:lvl w:ilvl="5" w:tplc="337216C4">
      <w:start w:val="1"/>
      <w:numFmt w:val="bullet"/>
      <w:lvlText w:val="■"/>
      <w:lvlJc w:val="left"/>
      <w:pPr>
        <w:ind w:left="4320" w:hanging="360"/>
      </w:pPr>
    </w:lvl>
    <w:lvl w:ilvl="6" w:tplc="E62E3514">
      <w:start w:val="1"/>
      <w:numFmt w:val="bullet"/>
      <w:lvlText w:val="●"/>
      <w:lvlJc w:val="left"/>
      <w:pPr>
        <w:ind w:left="5040" w:hanging="360"/>
      </w:pPr>
    </w:lvl>
    <w:lvl w:ilvl="7" w:tplc="A454BB7C">
      <w:start w:val="1"/>
      <w:numFmt w:val="bullet"/>
      <w:lvlText w:val="●"/>
      <w:lvlJc w:val="left"/>
      <w:pPr>
        <w:ind w:left="5760" w:hanging="360"/>
      </w:pPr>
    </w:lvl>
    <w:lvl w:ilvl="8" w:tplc="3028CD6A">
      <w:start w:val="1"/>
      <w:numFmt w:val="bullet"/>
      <w:lvlText w:val="●"/>
      <w:lvlJc w:val="left"/>
      <w:pPr>
        <w:ind w:left="6480" w:hanging="360"/>
      </w:pPr>
    </w:lvl>
  </w:abstractNum>
  <w:num w:numId="1" w16cid:durableId="123531394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oNotDisplayPageBoundaries/>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2103"/>
    <w:rsid w:val="006D2103"/>
    <w:rsid w:val="0080714C"/>
    <w:rsid w:val="00B945BE"/>
    <w:rsid w:val="00F149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78DA3D"/>
  <w15:docId w15:val="{6B74F521-CC8A-4C29-A852-7D9A0A9C8D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2D2D2D"/>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2874</Words>
  <Characters>16387</Characters>
  <Application>Microsoft Office Word</Application>
  <DocSecurity>0</DocSecurity>
  <Lines>136</Lines>
  <Paragraphs>38</Paragraphs>
  <ScaleCrop>false</ScaleCrop>
  <Company/>
  <LinksUpToDate>false</LinksUpToDate>
  <CharactersWithSpaces>19223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Wil Cosgrove</cp:lastModifiedBy>
  <cp:revision>2</cp:revision>
  <dcterms:created xsi:type="dcterms:W3CDTF">2026-03-31T16:24:00Z</dcterms:created>
  <dcterms:modified xsi:type="dcterms:W3CDTF">2026-03-31T16:24:00Z</dcterms:modified>
</cp:coreProperties>
</file>