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C6595" w14:textId="77777777" w:rsidR="004E0BFB" w:rsidRDefault="004203D5">
      <w:pPr>
        <w:spacing w:before="400" w:after="120" w:line="360" w:lineRule="auto"/>
        <w:jc w:val="center"/>
      </w:pPr>
      <w:r>
        <w:rPr>
          <w:rFonts w:ascii="Arial" w:eastAsia="Arial" w:hAnsi="Arial" w:cs="Arial"/>
          <w:b/>
          <w:bCs/>
          <w:color w:val="444444"/>
          <w:sz w:val="28"/>
          <w:szCs w:val="28"/>
        </w:rPr>
        <w:t>WORKING DRAFT</w:t>
      </w:r>
    </w:p>
    <w:p w14:paraId="39C1DD52" w14:textId="77777777" w:rsidR="004E0BFB" w:rsidRDefault="004203D5">
      <w:pPr>
        <w:spacing w:before="120" w:after="120" w:line="360" w:lineRule="auto"/>
        <w:jc w:val="center"/>
      </w:pPr>
      <w:r>
        <w:rPr>
          <w:rFonts w:ascii="Arial" w:eastAsia="Arial" w:hAnsi="Arial" w:cs="Arial"/>
          <w:color w:val="666666"/>
          <w:sz w:val="22"/>
          <w:szCs w:val="22"/>
        </w:rPr>
        <w:t>Opening Frame + Section A: Kumashiro’s Framework and Its Limits</w:t>
      </w:r>
    </w:p>
    <w:p w14:paraId="5D54649C" w14:textId="77777777" w:rsidR="004E0BFB" w:rsidRDefault="004203D5">
      <w:pPr>
        <w:spacing w:before="120" w:after="200" w:line="360" w:lineRule="auto"/>
        <w:jc w:val="center"/>
      </w:pPr>
      <w:r>
        <w:rPr>
          <w:rFonts w:ascii="Arial" w:eastAsia="Arial" w:hAnsi="Arial" w:cs="Arial"/>
          <w:color w:val="888888"/>
          <w:sz w:val="20"/>
          <w:szCs w:val="20"/>
        </w:rPr>
        <w:t>Draft for: "Who Does Not Have the Power?"</w:t>
      </w:r>
    </w:p>
    <w:p w14:paraId="09A49C00" w14:textId="77777777" w:rsidR="004E0BFB" w:rsidRDefault="004203D5">
      <w:pPr>
        <w:spacing w:before="40" w:after="300" w:line="360" w:lineRule="auto"/>
      </w:pPr>
      <w:r>
        <w:rPr>
          <w:rFonts w:ascii="Arial" w:eastAsia="Arial" w:hAnsi="Arial" w:cs="Arial"/>
          <w:i/>
          <w:iCs/>
          <w:color w:val="666666"/>
          <w:sz w:val="18"/>
          <w:szCs w:val="18"/>
        </w:rPr>
        <w:t>Purple-bordered notes throughout are my annotations for you — strip them before finalizing. They flag decisions, connect to your comments on the outline, and mark places where you’ll need to make a call.</w:t>
      </w:r>
    </w:p>
    <w:p w14:paraId="0B0171FD" w14:textId="77777777" w:rsidR="004E0BFB" w:rsidRDefault="004203D5">
      <w:pPr>
        <w:pStyle w:val="Heading1"/>
        <w:spacing w:before="400" w:line="360" w:lineRule="auto"/>
      </w:pPr>
      <w:r>
        <w:rPr>
          <w:color w:val="000000"/>
        </w:rPr>
        <w:t>WHO DOES NOT HAVE THE POWER?</w:t>
      </w:r>
    </w:p>
    <w:p w14:paraId="517E9D0C" w14:textId="77777777" w:rsidR="004E0BFB" w:rsidRDefault="004203D5">
      <w:pPr>
        <w:spacing w:before="120" w:after="120" w:line="360" w:lineRule="auto"/>
        <w:ind w:firstLine="720"/>
      </w:pPr>
      <w:commentRangeStart w:id="0"/>
      <w:r>
        <w:rPr>
          <w:color w:val="000000"/>
        </w:rPr>
        <w:t xml:space="preserve">Conservative modernization </w:t>
      </w:r>
      <w:commentRangeEnd w:id="0"/>
      <w:r w:rsidR="00E73CA4">
        <w:rPr>
          <w:rStyle w:val="CommentReference"/>
          <w:color w:val="000000"/>
          <w:sz w:val="24"/>
          <w:szCs w:val="24"/>
        </w:rPr>
        <w:commentReference w:id="0"/>
      </w:r>
      <w:r>
        <w:rPr>
          <w:color w:val="000000"/>
        </w:rPr>
        <w:t>sits at the choke points of curricular change. It controls the standards, the testing regimes, the accountability frameworks, and the language through which reform must justify itself. Progressive educators work within those channels or around them, bending the system’s own tools toward different purposes (</w:t>
      </w:r>
      <w:commentRangeStart w:id="1"/>
      <w:r>
        <w:rPr>
          <w:color w:val="000000"/>
        </w:rPr>
        <w:t>representation scorecards, culturally responsive materials, anti-racist units</w:t>
      </w:r>
      <w:commentRangeEnd w:id="1"/>
      <w:r w:rsidR="00E73CA4">
        <w:rPr>
          <w:rStyle w:val="CommentReference"/>
          <w:color w:val="000000"/>
          <w:sz w:val="24"/>
          <w:szCs w:val="24"/>
        </w:rPr>
        <w:commentReference w:id="1"/>
      </w:r>
      <w:r>
        <w:rPr>
          <w:color w:val="000000"/>
        </w:rPr>
        <w:t>) while accepting that the moment those tools become visible to the dominant system, they get absorbed, measured, and constrained by it. The mechanics of that power explain why reform so often fails to outlast its own moment: how it flows, who holds the levers, what happens when bottom-up change tries to move through top-down channels.</w:t>
      </w:r>
    </w:p>
    <w:p w14:paraId="015BC0A9" w14:textId="29272D87" w:rsidR="004E0BFB" w:rsidRDefault="004203D5">
      <w:pPr>
        <w:spacing w:before="120" w:after="120" w:line="360" w:lineRule="auto"/>
        <w:ind w:firstLine="720"/>
      </w:pPr>
      <w:r>
        <w:rPr>
          <w:color w:val="000000"/>
        </w:rPr>
        <w:t>But power does not only operate through policy and infrastructure. It operates through something quieter and more pervasive</w:t>
      </w:r>
      <w:r w:rsidR="00E73CA4">
        <w:rPr>
          <w:color w:val="000000"/>
        </w:rPr>
        <w:t>: t</w:t>
      </w:r>
      <w:r>
        <w:rPr>
          <w:color w:val="000000"/>
        </w:rPr>
        <w:t>he ability to define what counts as real.</w:t>
      </w:r>
    </w:p>
    <w:p w14:paraId="37FACB11" w14:textId="77777777" w:rsidR="004E0BFB" w:rsidRDefault="004203D5">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is the key transition. The Apple chapter was about institutional power (who controls the levers). This chapter goes deeper: who controls the meaning. Your recontextualization: conservative = a dominant who benefits from the system and promotes its continuance; progressive = a subdominant who does not benefit and requests change. That framing carries forward here, but the focus shifts from the political mechanics to the cognitive mechanics of how dominance actually works inside people’s heads.</w:t>
      </w:r>
    </w:p>
    <w:p w14:paraId="2B4D2372" w14:textId="77777777" w:rsidR="004E0BFB" w:rsidRDefault="004203D5">
      <w:pPr>
        <w:spacing w:before="120" w:after="120" w:line="360" w:lineRule="auto"/>
        <w:ind w:firstLine="720"/>
      </w:pPr>
      <w:r>
        <w:rPr>
          <w:color w:val="000000"/>
        </w:rPr>
        <w:t>If society is what changes curriculum, then what changes society? The values and experiences of individuals collectively form the values of a culture. But not equally. Those in positions of dominance do not simply hold more resources or louder microphones. They hold something more fundamental: the capacity to define the default. They determine what is considered normal, what deviations from that normal are tolerated, and which deviations are treated as threats. The conservative project Apple describes is no</w:t>
      </w:r>
      <w:r>
        <w:rPr>
          <w:color w:val="000000"/>
        </w:rPr>
        <w:t xml:space="preserve">t only a political coalition. It is </w:t>
      </w:r>
      <w:r>
        <w:rPr>
          <w:color w:val="000000"/>
        </w:rPr>
        <w:lastRenderedPageBreak/>
        <w:t xml:space="preserve">an act of </w:t>
      </w:r>
      <w:r w:rsidRPr="00192C1B">
        <w:rPr>
          <w:i/>
          <w:iCs/>
          <w:color w:val="000000"/>
        </w:rPr>
        <w:t>reality construction</w:t>
      </w:r>
      <w:r>
        <w:rPr>
          <w:color w:val="000000"/>
        </w:rPr>
        <w:t>. A particular set of meanings about school, knowledge, success, and citizenship is asserted not as a choice but as a fact.</w:t>
      </w:r>
    </w:p>
    <w:p w14:paraId="49558A4E" w14:textId="3B07C613" w:rsidR="004E0BFB" w:rsidRDefault="004203D5">
      <w:pPr>
        <w:spacing w:before="120" w:after="120" w:line="360" w:lineRule="auto"/>
        <w:ind w:firstLine="720"/>
      </w:pPr>
      <w:r>
        <w:rPr>
          <w:color w:val="000000"/>
        </w:rPr>
        <w:t>Those who do not benefit from the dominant arrangement experience this differently. They do not encounter the default as a neutral backdrop</w:t>
      </w:r>
      <w:r w:rsidR="00622B30">
        <w:rPr>
          <w:color w:val="000000"/>
        </w:rPr>
        <w:t>, t</w:t>
      </w:r>
      <w:r>
        <w:rPr>
          <w:color w:val="000000"/>
        </w:rPr>
        <w:t xml:space="preserve">hey encounter it as a constraint. A set of definitions written before they arrived, applied to them without their participation, and enforced by systems they had no hand in designing. When a student is sorted into a category (by race, by ability, by language, by behavior) the sorting does not begin in the classroom. It begins in the accumulated cognitive history of every person and institution that shaped the category before the student ever walked through the </w:t>
      </w:r>
      <w:commentRangeStart w:id="2"/>
      <w:r>
        <w:rPr>
          <w:color w:val="000000"/>
        </w:rPr>
        <w:t>door</w:t>
      </w:r>
      <w:commentRangeEnd w:id="2"/>
      <w:r w:rsidR="00622B30">
        <w:rPr>
          <w:rStyle w:val="CommentReference"/>
          <w:color w:val="000000"/>
          <w:sz w:val="24"/>
          <w:szCs w:val="24"/>
        </w:rPr>
        <w:commentReference w:id="2"/>
      </w:r>
      <w:r>
        <w:rPr>
          <w:color w:val="000000"/>
        </w:rPr>
        <w:t>.</w:t>
      </w:r>
    </w:p>
    <w:p w14:paraId="71A7AD85" w14:textId="77777777" w:rsidR="004E0BFB" w:rsidRDefault="004203D5">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Your comment on the outline (Comment 0) asked: "Who gets to decide how much (and what) differences are allowed in a society? The anti-racists think it’s them, and the billionaires think it’s them." That tension is exactly what this paragraph sets up. The answer that emerges over the chapter: nobody should get to decide, because the act of deciding is itself the imposition. Metacognition is the alternative — teaching people to examine the definitions rather than imposing better ones.</w:t>
      </w:r>
    </w:p>
    <w:p w14:paraId="48B8C9B1" w14:textId="77777777" w:rsidR="004E0BFB" w:rsidRDefault="004203D5">
      <w:pPr>
        <w:spacing w:before="120" w:after="120" w:line="360" w:lineRule="auto"/>
        <w:ind w:firstLine="720"/>
      </w:pPr>
      <w:r>
        <w:rPr>
          <w:color w:val="000000"/>
        </w:rPr>
        <w:t>Below the level of policy and politics, a more fundamental question waits. What happens to the people who live inside a system where their reality has already been defined for them? How does a dominant norm become so embedded that it stops looking like a norm and starts looking like the way things are? And once it has, what would it take to make it visible again? Not politically. Cognitively.</w:t>
      </w:r>
    </w:p>
    <w:p w14:paraId="741E673C" w14:textId="77777777" w:rsidR="004E0BFB" w:rsidRDefault="004203D5">
      <w:pPr>
        <w:spacing w:before="120" w:after="120" w:line="360" w:lineRule="auto"/>
        <w:ind w:firstLine="720"/>
      </w:pPr>
      <w:r>
        <w:rPr>
          <w:color w:val="000000"/>
        </w:rPr>
        <w:t>To answer those questions, we have to look more closely at the concept of oppression itself. Not as a political label. As a condition of consciousness.</w:t>
      </w:r>
    </w:p>
    <w:p w14:paraId="4D6B6421" w14:textId="77777777" w:rsidR="004E0BFB" w:rsidRDefault="004203D5">
      <w:pPr>
        <w:pStyle w:val="Heading2"/>
        <w:spacing w:before="400" w:after="200" w:line="360" w:lineRule="auto"/>
      </w:pPr>
      <w:r>
        <w:rPr>
          <w:color w:val="000000"/>
        </w:rPr>
        <w:t>Kumashiro’s Framework and Its Limits</w:t>
      </w:r>
    </w:p>
    <w:p w14:paraId="2BED1F3B" w14:textId="77777777" w:rsidR="004E0BFB" w:rsidRDefault="004203D5">
      <w:pPr>
        <w:spacing w:before="300" w:after="120" w:line="360" w:lineRule="auto"/>
      </w:pPr>
      <w:r>
        <w:rPr>
          <w:b/>
          <w:bCs/>
          <w:i/>
          <w:iCs/>
          <w:color w:val="000000"/>
        </w:rPr>
        <w:t>Kumashiro’s Contributions</w:t>
      </w:r>
    </w:p>
    <w:p w14:paraId="42D3DAB9" w14:textId="34392E43" w:rsidR="004E0BFB" w:rsidRDefault="004203D5">
      <w:pPr>
        <w:spacing w:before="120" w:after="120" w:line="360" w:lineRule="auto"/>
        <w:ind w:firstLine="720"/>
      </w:pPr>
      <w:r>
        <w:rPr>
          <w:color w:val="000000"/>
        </w:rPr>
        <w:t>Kevin Kumashiro offers one of the most widely cited frameworks for understanding oppression in educational contexts. His analysis begins from a clear premise</w:t>
      </w:r>
      <w:r w:rsidR="00622B30">
        <w:rPr>
          <w:color w:val="000000"/>
        </w:rPr>
        <w:t>: s</w:t>
      </w:r>
      <w:r>
        <w:rPr>
          <w:color w:val="000000"/>
        </w:rPr>
        <w:t>chools are not neutral environments. They are shaped by the same hierarchies, assumptions, and power dynamics that structure the broader society. For Kumashiro, addressing oppression in education requires attending to both the external structures that produce harm and the internal dispositions that sustain it.</w:t>
      </w:r>
    </w:p>
    <w:p w14:paraId="547ABF33" w14:textId="45A34543" w:rsidR="004E0BFB" w:rsidRDefault="004203D5">
      <w:pPr>
        <w:spacing w:before="120" w:after="120" w:line="360" w:lineRule="auto"/>
        <w:ind w:firstLine="720"/>
      </w:pPr>
      <w:r>
        <w:rPr>
          <w:color w:val="000000"/>
        </w:rPr>
        <w:lastRenderedPageBreak/>
        <w:t xml:space="preserve">He identifies two primary approaches. The first focuses on improving the experiences of students who are </w:t>
      </w:r>
      <w:r w:rsidRPr="002573CD">
        <w:rPr>
          <w:i/>
          <w:iCs/>
          <w:color w:val="000000"/>
        </w:rPr>
        <w:t>Othered</w:t>
      </w:r>
      <w:r>
        <w:rPr>
          <w:color w:val="000000"/>
        </w:rPr>
        <w:t xml:space="preserve">, meaning those who are marginalized or oppressed in and by mainstream society. This approach confronts the visible forms of oppression: differential treatment based on race, gender, sexuality, or class; harassment, exclusion, and the deliberate withholding of resources. The second approach examines the assumptions and expectations educators carry about who students are or should be. This is the domain of the </w:t>
      </w:r>
      <w:r w:rsidRPr="002D343E">
        <w:rPr>
          <w:i/>
          <w:iCs/>
          <w:color w:val="000000"/>
        </w:rPr>
        <w:t>hidden curriculum</w:t>
      </w:r>
      <w:r>
        <w:rPr>
          <w:color w:val="000000"/>
        </w:rPr>
        <w:t xml:space="preserve">. The harm that arises not from overt mistreatment but from the unstated beliefs that shape how a teacher interacts with a student before a word is spoken. Racial stereotypes, gendered expectations, heteronormative assumptions, </w:t>
      </w:r>
      <w:r w:rsidR="003A40A9">
        <w:rPr>
          <w:color w:val="000000"/>
        </w:rPr>
        <w:t xml:space="preserve">and </w:t>
      </w:r>
      <w:r>
        <w:rPr>
          <w:color w:val="000000"/>
        </w:rPr>
        <w:t>assimilationist beliefs</w:t>
      </w:r>
      <w:r w:rsidR="003A40A9">
        <w:rPr>
          <w:color w:val="000000"/>
        </w:rPr>
        <w:t xml:space="preserve"> </w:t>
      </w:r>
      <w:r>
        <w:rPr>
          <w:color w:val="000000"/>
        </w:rPr>
        <w:t>operate below the surface of policy and produce harm even in the absence of malice.</w:t>
      </w:r>
    </w:p>
    <w:p w14:paraId="0405F91F" w14:textId="1B405C56" w:rsidR="004E0BFB" w:rsidRDefault="004203D5">
      <w:pPr>
        <w:spacing w:before="120" w:after="120" w:line="360" w:lineRule="auto"/>
        <w:ind w:firstLine="720"/>
      </w:pPr>
      <w:commentRangeStart w:id="3"/>
      <w:r>
        <w:rPr>
          <w:color w:val="000000"/>
        </w:rPr>
        <w:t xml:space="preserve">Kumashiro further argues </w:t>
      </w:r>
      <w:commentRangeEnd w:id="3"/>
      <w:r w:rsidR="00E4344F">
        <w:rPr>
          <w:rStyle w:val="CommentReference"/>
          <w:color w:val="000000"/>
          <w:sz w:val="24"/>
          <w:szCs w:val="24"/>
        </w:rPr>
        <w:commentReference w:id="3"/>
      </w:r>
      <w:r>
        <w:rPr>
          <w:color w:val="000000"/>
        </w:rPr>
        <w:t>that oppression is not reducible to individual acts of prejudice. It is multiple, situated, and produced through the interaction of external treatment, internal ways of knowing, structural forces, ideologies, and discursive repetition. A student’s experience of oppression is not simply the sum of bad encounters</w:t>
      </w:r>
      <w:r w:rsidR="00E36B18">
        <w:rPr>
          <w:color w:val="000000"/>
        </w:rPr>
        <w:t>, i</w:t>
      </w:r>
      <w:r>
        <w:rPr>
          <w:color w:val="000000"/>
        </w:rPr>
        <w:t>t is the accumulation of systems, narratives, and assumptions that together define what that student is expected to be.</w:t>
      </w:r>
    </w:p>
    <w:p w14:paraId="7432DBD2" w14:textId="77777777" w:rsidR="004E0BFB" w:rsidRDefault="004203D5">
      <w:pPr>
        <w:spacing w:before="120" w:after="120" w:line="360" w:lineRule="auto"/>
        <w:ind w:firstLine="720"/>
      </w:pPr>
      <w:commentRangeStart w:id="4"/>
      <w:r>
        <w:rPr>
          <w:color w:val="000000"/>
        </w:rPr>
        <w:t>This is genuinely important work. It moved the conversation beyond blaming individual teachers or specific curricula and toward recognizing oppression as systemic, layered, and often invisible to those who benefit from it.</w:t>
      </w:r>
      <w:commentRangeEnd w:id="4"/>
      <w:r w:rsidR="003731E1">
        <w:rPr>
          <w:rStyle w:val="CommentReference"/>
          <w:sz w:val="24"/>
          <w:szCs w:val="24"/>
        </w:rPr>
        <w:commentReference w:id="4"/>
      </w:r>
    </w:p>
    <w:p w14:paraId="5E280504" w14:textId="77777777" w:rsidR="004E0BFB" w:rsidRDefault="004203D5">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Source material: paras 259–261 from your current draft. I’ve expanded and smoothed the presentation but kept your characterization of Kumashiro. You’ll want to double-check the direct quotes against Troubling Education to make sure I haven’t drifted from his exact language.</w:t>
      </w:r>
    </w:p>
    <w:p w14:paraId="405562DD" w14:textId="77777777" w:rsidR="004E0BFB" w:rsidRDefault="004203D5">
      <w:pPr>
        <w:spacing w:before="300" w:after="120" w:line="360" w:lineRule="auto"/>
      </w:pPr>
      <w:r>
        <w:rPr>
          <w:b/>
          <w:bCs/>
          <w:i/>
          <w:iCs/>
          <w:color w:val="000000"/>
        </w:rPr>
        <w:t>Where Kumashiro Stops</w:t>
      </w:r>
    </w:p>
    <w:p w14:paraId="26BE8E28" w14:textId="77777777" w:rsidR="004E0BFB" w:rsidRDefault="004203D5">
      <w:pPr>
        <w:spacing w:before="120" w:after="120" w:line="360" w:lineRule="auto"/>
        <w:ind w:firstLine="720"/>
      </w:pPr>
      <w:r>
        <w:rPr>
          <w:color w:val="000000"/>
        </w:rPr>
        <w:t xml:space="preserve">Despite this nuance, Kumashiro’s framework orbits a particular axis. He identifies oppression by first establishing a dominant norm (white, male, heterosexual, middle-class, able-bodied, Christian) and then defining everyone who deviates from that norm as </w:t>
      </w:r>
      <w:r w:rsidRPr="007C5019">
        <w:rPr>
          <w:i/>
          <w:iCs/>
          <w:color w:val="000000"/>
        </w:rPr>
        <w:t>Other</w:t>
      </w:r>
      <w:r>
        <w:rPr>
          <w:color w:val="000000"/>
        </w:rPr>
        <w:t xml:space="preserve">. The majority of students, </w:t>
      </w:r>
      <w:commentRangeStart w:id="5"/>
      <w:r>
        <w:rPr>
          <w:color w:val="000000"/>
        </w:rPr>
        <w:t>he writes</w:t>
      </w:r>
      <w:commentRangeEnd w:id="5"/>
      <w:r w:rsidR="0015518B">
        <w:rPr>
          <w:rStyle w:val="CommentReference"/>
          <w:color w:val="000000"/>
          <w:sz w:val="24"/>
          <w:szCs w:val="24"/>
        </w:rPr>
        <w:commentReference w:id="5"/>
      </w:r>
      <w:r>
        <w:rPr>
          <w:color w:val="000000"/>
        </w:rPr>
        <w:t>, are those who are not members of the dominant group: students of color, women, queer students, students with disabilities, students from non-Christian backgrounds, students from working-class families. Anyone who deviates from the established center, even slightly, is classified as an Other whose oppression must be addressed.</w:t>
      </w:r>
    </w:p>
    <w:p w14:paraId="77604E26" w14:textId="50356528" w:rsidR="004E0BFB" w:rsidRDefault="004203D5">
      <w:pPr>
        <w:spacing w:before="120" w:after="120" w:line="360" w:lineRule="auto"/>
        <w:ind w:firstLine="720"/>
      </w:pPr>
      <w:r>
        <w:rPr>
          <w:color w:val="000000"/>
        </w:rPr>
        <w:lastRenderedPageBreak/>
        <w:t>This approach has obvious strengths. It names real patterns</w:t>
      </w:r>
      <w:r w:rsidR="00C407E9">
        <w:rPr>
          <w:color w:val="000000"/>
        </w:rPr>
        <w:t xml:space="preserve"> and </w:t>
      </w:r>
      <w:r>
        <w:rPr>
          <w:color w:val="000000"/>
        </w:rPr>
        <w:t>gives educators a vocabulary for recognizing who is harmed and how. But it also installs a structural limitation that shapes everything built on top of it. Oppression, in this framework, is always measured relative to a fixed center. The dominant group sets the benchmark, and everyone else is defined by their distance from it. The identity categories (race, gender, sexuality, class, ability) are treated as stable axes along which Otherness can be plotted. And the dominant group itself is implicitly position</w:t>
      </w:r>
      <w:r>
        <w:rPr>
          <w:color w:val="000000"/>
        </w:rPr>
        <w:t>ed as the un-oppressed baseline, the reference point from which all deviation is measured.</w:t>
      </w:r>
    </w:p>
    <w:p w14:paraId="44A2FBCB" w14:textId="75F6208A" w:rsidR="004E0BFB" w:rsidRDefault="004203D5">
      <w:pPr>
        <w:spacing w:before="120" w:after="120" w:line="360" w:lineRule="auto"/>
        <w:ind w:firstLine="720"/>
      </w:pPr>
      <w:r>
        <w:rPr>
          <w:color w:val="000000"/>
        </w:rPr>
        <w:t>This is where the framework encounters its own ceiling. Because true equality is a utopia individually held</w:t>
      </w:r>
      <w:r w:rsidR="00E21CA6">
        <w:rPr>
          <w:color w:val="000000"/>
        </w:rPr>
        <w:t>, i</w:t>
      </w:r>
      <w:r>
        <w:rPr>
          <w:color w:val="000000"/>
        </w:rPr>
        <w:t xml:space="preserve">t cannot be realized in practice </w:t>
      </w:r>
      <w:r w:rsidR="00625619">
        <w:rPr>
          <w:color w:val="000000"/>
        </w:rPr>
        <w:t>since</w:t>
      </w:r>
      <w:r>
        <w:rPr>
          <w:color w:val="000000"/>
        </w:rPr>
        <w:t xml:space="preserve"> each person’s version of equality is shaped by their own experiences and cognitive reality. Any framework that defines oppression relative to a single dominant norm will be structurally incomplete. It can describe oppression within the categories it recognizes</w:t>
      </w:r>
      <w:r w:rsidR="00EA5730">
        <w:rPr>
          <w:color w:val="000000"/>
        </w:rPr>
        <w:t>, but i</w:t>
      </w:r>
      <w:r>
        <w:rPr>
          <w:color w:val="000000"/>
        </w:rPr>
        <w:t>t cannot account for oppression that falls outside them, oppression that operates between them, or oppression that is produced by the act of categorizing itself.</w:t>
      </w:r>
    </w:p>
    <w:p w14:paraId="3BA27B7B" w14:textId="77777777" w:rsidR="004E0BFB" w:rsidRDefault="004203D5">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Your comment (Comment 0): "Is visible the right word? It’s to eradicate a norm because there is no concept of norm because there is no difference. This is obviously impossible." You’re right that full eradication is impossible. The paragraph above handles this: true equality is individually held and unrealizable. What follows is the question of what to do given that impossibility. Kumashiro’s answer: identify the dominant norm and advocate for the Other. Your answer (coming in Section B): shift the denomina</w:t>
      </w:r>
      <w:r>
        <w:rPr>
          <w:rFonts w:ascii="Arial" w:eastAsia="Arial" w:hAnsi="Arial" w:cs="Arial"/>
          <w:i/>
          <w:iCs/>
          <w:color w:val="666666"/>
          <w:sz w:val="18"/>
          <w:szCs w:val="18"/>
        </w:rPr>
        <w:t>tor from identity categories to cognitive self-awareness.</w:t>
      </w:r>
    </w:p>
    <w:p w14:paraId="6367E444" w14:textId="77777777" w:rsidR="004E0BFB" w:rsidRPr="001B343A" w:rsidRDefault="004203D5">
      <w:pPr>
        <w:spacing w:before="120" w:after="120" w:line="360" w:lineRule="auto"/>
        <w:ind w:firstLine="720"/>
        <w:rPr>
          <w:i/>
          <w:iCs/>
        </w:rPr>
      </w:pPr>
      <w:r>
        <w:rPr>
          <w:color w:val="000000"/>
        </w:rPr>
        <w:t xml:space="preserve">Kumashiro’s work is certainly profound, and my critique should not be read as a dismissal. It is true that each of the identifiers he names (whiteness, maleness, heterosexuality, wealth) carries a documented history of dominance and a measurable set of structural advantages. The patterns are real. But the question I want to ask is </w:t>
      </w:r>
      <w:r w:rsidRPr="001B343A">
        <w:rPr>
          <w:i/>
          <w:iCs/>
          <w:color w:val="000000"/>
        </w:rPr>
        <w:t>whether the analytical frame through which those patterns are examined might itself be contributing to the problem it diagnoses.</w:t>
      </w:r>
    </w:p>
    <w:p w14:paraId="23ACE297" w14:textId="77777777" w:rsidR="004E0BFB" w:rsidRDefault="004203D5">
      <w:pPr>
        <w:spacing w:before="120" w:after="120" w:line="360" w:lineRule="auto"/>
        <w:ind w:firstLine="720"/>
      </w:pPr>
      <w:r>
        <w:rPr>
          <w:color w:val="000000"/>
        </w:rPr>
        <w:t>If the aim of anti-oppressive pedagogy is to reduce the harm caused by imposed identity, then perhaps it would be worth investigating whether that aim can be served by an approach that does not begin from identity at all.</w:t>
      </w:r>
    </w:p>
    <w:p w14:paraId="3A7D852F" w14:textId="77777777" w:rsidR="004E0BFB" w:rsidRDefault="004203D5">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Source material: paras 258, 262–263 from your current draft. The last sentence is your pivot question, adapted from para 263: "Would it be wrong to shift the focus over to generalized oppression rather than narrowly focus on specific groups?" I’ve reframed it to be less tentative since you’ve committed to the argument.</w:t>
      </w:r>
    </w:p>
    <w:p w14:paraId="7C6B3D1A" w14:textId="77777777" w:rsidR="004E0BFB" w:rsidRDefault="004203D5">
      <w:pPr>
        <w:spacing w:before="300" w:after="120" w:line="360" w:lineRule="auto"/>
      </w:pPr>
      <w:r>
        <w:rPr>
          <w:b/>
          <w:bCs/>
          <w:i/>
          <w:iCs/>
          <w:color w:val="000000"/>
        </w:rPr>
        <w:lastRenderedPageBreak/>
        <w:t>The Question Underneath the Categories</w:t>
      </w:r>
    </w:p>
    <w:p w14:paraId="39141744" w14:textId="74A9C6D5" w:rsidR="004E0BFB" w:rsidRDefault="004203D5">
      <w:pPr>
        <w:spacing w:before="120" w:after="120" w:line="360" w:lineRule="auto"/>
        <w:ind w:firstLine="720"/>
      </w:pPr>
      <w:r>
        <w:rPr>
          <w:color w:val="000000"/>
        </w:rPr>
        <w:t>Kumashiro is not alone in organizing oppression around identity. The entire landscape of anti-oppressive education operates through the same basic move. Anti-racist pedagogy, culturally responsive teaching, critical pedagogy, disability studies, queer theory</w:t>
      </w:r>
      <w:r w:rsidR="00707778">
        <w:rPr>
          <w:color w:val="000000"/>
        </w:rPr>
        <w:t>…</w:t>
      </w:r>
      <w:r>
        <w:rPr>
          <w:color w:val="000000"/>
        </w:rPr>
        <w:t xml:space="preserve"> </w:t>
      </w:r>
      <w:commentRangeStart w:id="6"/>
      <w:r w:rsidRPr="002303EF">
        <w:rPr>
          <w:b/>
          <w:bCs/>
          <w:color w:val="000000"/>
        </w:rPr>
        <w:t>identify a marginalized group, examine the structures that marginalize them, and design interventions to disrupt those structures</w:t>
      </w:r>
      <w:commentRangeEnd w:id="6"/>
      <w:r w:rsidR="002303EF">
        <w:rPr>
          <w:rStyle w:val="CommentReference"/>
          <w:color w:val="000000"/>
          <w:sz w:val="24"/>
          <w:szCs w:val="24"/>
        </w:rPr>
        <w:commentReference w:id="6"/>
      </w:r>
      <w:r>
        <w:rPr>
          <w:color w:val="000000"/>
        </w:rPr>
        <w:t>. The categories differ. The logic does not.</w:t>
      </w:r>
    </w:p>
    <w:p w14:paraId="52CD5941" w14:textId="77777777" w:rsidR="004E0BFB" w:rsidRDefault="004203D5">
      <w:pPr>
        <w:spacing w:before="120" w:after="120" w:line="360" w:lineRule="auto"/>
        <w:ind w:firstLine="720"/>
      </w:pPr>
      <w:r>
        <w:rPr>
          <w:color w:val="000000"/>
        </w:rPr>
        <w:t>This shared logic creates a shared vulnerability. If anti-oppression frameworks define oppression through identity categories, and those identity categories are themselves socially constructed, then the frameworks are structurally dependent on the very constructions they aim to dismantle. Anti-racist pedagogy cannot operate without the concept of race. Gender-inclusive education cannot operate without the concept of gender. Disability advocacy cannot operate without the concept of ability. In each case, the</w:t>
      </w:r>
      <w:r>
        <w:rPr>
          <w:color w:val="000000"/>
        </w:rPr>
        <w:t xml:space="preserve"> tool of liberation requires the continued existence of the category it seeks to liberate people from.</w:t>
      </w:r>
    </w:p>
    <w:p w14:paraId="2AE5EC61" w14:textId="77777777" w:rsidR="004E0BFB" w:rsidRDefault="004203D5">
      <w:pPr>
        <w:spacing w:before="120" w:after="120" w:line="360" w:lineRule="auto"/>
        <w:ind w:firstLine="720"/>
      </w:pPr>
      <w:r>
        <w:rPr>
          <w:color w:val="000000"/>
        </w:rPr>
        <w:t>This is not a reason to abandon those frameworks. They have produced real, measurable progress. Integration, visibility, representation, legal protection. None of these would have been possible without the deliberate identification of oppressed groups and the organized effort to address their specific harms. But it is a reason to look underneath the frameworks and ask a more fundamental question: what is oppression before it gets sorted into categories?</w:t>
      </w:r>
    </w:p>
    <w:p w14:paraId="51AA0FF1" w14:textId="77777777" w:rsidR="004E0BFB" w:rsidRDefault="004203D5">
      <w:pPr>
        <w:spacing w:before="120" w:after="120" w:line="360" w:lineRule="auto"/>
        <w:ind w:firstLine="720"/>
      </w:pPr>
      <w:r>
        <w:rPr>
          <w:color w:val="000000"/>
        </w:rPr>
        <w:t>Racist and anti-racist theories, despite their opposing intentions, share a structural assumption. Both treat race as the denominator of the equation. For racist theories, race is a natural ordering that justifies hierarchy. For anti-racist theories, race is a social construction that must be confronted and dismantled. But in both cases, race must remain the organizing principle in order for the theory to function. If race were removed from the equation entirely, reduced to zero, the equation breaks. Both f</w:t>
      </w:r>
      <w:r>
        <w:rPr>
          <w:color w:val="000000"/>
        </w:rPr>
        <w:t>rameworks depend on the category’s continued relevance.</w:t>
      </w:r>
    </w:p>
    <w:p w14:paraId="04326E11" w14:textId="77777777" w:rsidR="004E0BFB" w:rsidRDefault="004203D5">
      <w:pPr>
        <w:spacing w:before="120" w:after="120" w:line="360" w:lineRule="auto"/>
        <w:ind w:firstLine="720"/>
      </w:pPr>
      <w:r>
        <w:rPr>
          <w:color w:val="000000"/>
        </w:rPr>
        <w:t>The same structural dependence holds for gender, sexuality, class, and ability. Each framework requires its category in order to do its work. This is not a flaw in any individual framework. It is a feature of the approach itself. Identity-based analysis can only see what identity-based categories make visible.</w:t>
      </w:r>
    </w:p>
    <w:p w14:paraId="1DB529AA" w14:textId="77777777" w:rsidR="004E0BFB" w:rsidRDefault="004203D5">
      <w:pPr>
        <w:spacing w:before="120" w:after="120" w:line="360" w:lineRule="auto"/>
        <w:ind w:firstLine="720"/>
      </w:pPr>
      <w:r>
        <w:rPr>
          <w:color w:val="000000"/>
        </w:rPr>
        <w:lastRenderedPageBreak/>
        <w:t>What it cannot see is what lies beneath the categories. The mechanism that produces imposed identity in the first place. The cognitive process by which a society decides what differences matter, assigns meaning to those differences, scales that meaning into institutions, and then treats the result as reality rather than construction. If that mechanism could be named, examined, and taught, it might offer something the category-based frameworks cannot: a response to oppression that does not depend on the perp</w:t>
      </w:r>
      <w:r>
        <w:rPr>
          <w:color w:val="000000"/>
        </w:rPr>
        <w:t>etuation of the very categories oppression feeds on.</w:t>
      </w:r>
    </w:p>
    <w:p w14:paraId="4A0C2E08" w14:textId="77777777" w:rsidR="004E0BFB" w:rsidRDefault="004203D5">
      <w:pPr>
        <w:spacing w:before="120" w:after="120" w:line="360" w:lineRule="auto"/>
        <w:ind w:firstLine="720"/>
      </w:pPr>
      <w:r>
        <w:rPr>
          <w:color w:val="000000"/>
        </w:rPr>
        <w:t>Naming that mechanism is the next step.</w:t>
      </w:r>
    </w:p>
    <w:p w14:paraId="504EC97D" w14:textId="77777777" w:rsidR="004E0BFB" w:rsidRDefault="004203D5">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This is the bridge into Section B (Cognitive Oppression: The Framework). The reader has now been given: (1) a fair presentation of Kumashiro, (2) a clear identification of the structural limitation, (3) the shared vulnerability across all identity-based frameworks, (4) the denominator metaphor from your current draft (para 293), and (5) a forward-pointing question that makes them want to turn the page. The tone is respectful but firm. You’re not attacking anyone. You’re asking what’s underneath.</w:t>
      </w:r>
    </w:p>
    <w:p w14:paraId="79949F6B" w14:textId="77777777" w:rsidR="004E0BFB" w:rsidRDefault="004203D5">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 xml:space="preserve">Your comment (Comment 8) on the outline: "True accurate reality cannot be perceived or known by human consciousness. That would require omnipotence. Instead, we form constructs to make sense of our understood realities. And the ones that make more sense to the most people (the two wolves), or the ones pushed by the dominant norm to benefit their place in reality, that is what becomes Jim Crow or Anti-Racism." This insight gets its full treatment in Section B (the scalability bridge). It doesn’t belong here </w:t>
      </w:r>
      <w:r>
        <w:rPr>
          <w:rFonts w:ascii="Arial" w:eastAsia="Arial" w:hAnsi="Arial" w:cs="Arial"/>
          <w:i/>
          <w:iCs/>
          <w:color w:val="666666"/>
          <w:sz w:val="18"/>
          <w:szCs w:val="18"/>
        </w:rPr>
        <w:t>in A.3 because the reader doesn’t have the consciousness framework yet. But it’s the exact idea that B.2 will develop.</w:t>
      </w:r>
    </w:p>
    <w:p w14:paraId="55B4B1FF" w14:textId="77777777" w:rsidR="004E0BFB" w:rsidRDefault="004203D5">
      <w:pPr>
        <w:pBdr>
          <w:left w:val="single" w:sz="6" w:space="8" w:color="7F77DD"/>
        </w:pBdr>
        <w:spacing w:before="80" w:after="80" w:line="276" w:lineRule="auto"/>
        <w:ind w:left="720"/>
      </w:pPr>
      <w:r>
        <w:rPr>
          <w:rFonts w:ascii="Arial" w:eastAsia="Arial" w:hAnsi="Arial" w:cs="Arial"/>
          <w:b/>
          <w:bCs/>
          <w:color w:val="7F77DD"/>
          <w:sz w:val="18"/>
          <w:szCs w:val="18"/>
        </w:rPr>
        <w:t xml:space="preserve">NOTE: </w:t>
      </w:r>
      <w:r>
        <w:rPr>
          <w:rFonts w:ascii="Arial" w:eastAsia="Arial" w:hAnsi="Arial" w:cs="Arial"/>
          <w:i/>
          <w:iCs/>
          <w:color w:val="666666"/>
          <w:sz w:val="18"/>
          <w:szCs w:val="18"/>
        </w:rPr>
        <w:t>Your comment (Comment 13): "Metacognition is not natural. It’s not easy. And it’s not taught." I’d hold this for the very end of the chapter (Section E). It could be the closing line of the entire oppression section. It’s too powerful to spend early.</w:t>
      </w:r>
    </w:p>
    <w:p w14:paraId="101D73A8" w14:textId="77777777" w:rsidR="004E0BFB" w:rsidRDefault="004203D5">
      <w:r>
        <w:br w:type="page"/>
      </w:r>
    </w:p>
    <w:p w14:paraId="54EABCB6" w14:textId="77777777" w:rsidR="004E0BFB" w:rsidRDefault="004203D5">
      <w:pPr>
        <w:spacing w:before="200" w:after="120" w:line="360" w:lineRule="auto"/>
      </w:pPr>
      <w:r>
        <w:rPr>
          <w:rFonts w:ascii="Arial" w:eastAsia="Arial" w:hAnsi="Arial" w:cs="Arial"/>
          <w:b/>
          <w:bCs/>
          <w:color w:val="444444"/>
        </w:rPr>
        <w:lastRenderedPageBreak/>
        <w:t>WHAT COMES NEXT</w:t>
      </w:r>
    </w:p>
    <w:p w14:paraId="4C56734C" w14:textId="77777777" w:rsidR="004E0BFB" w:rsidRDefault="004203D5">
      <w:pPr>
        <w:spacing w:before="100" w:after="120" w:line="360" w:lineRule="auto"/>
      </w:pPr>
      <w:r>
        <w:rPr>
          <w:rFonts w:ascii="Arial" w:eastAsia="Arial" w:hAnsi="Arial" w:cs="Arial"/>
          <w:color w:val="666666"/>
          <w:sz w:val="20"/>
          <w:szCs w:val="20"/>
        </w:rPr>
        <w:t>This draft covers the Opening Frame through the end of Section A.3. The next drafting session should tackle Section B (Cognitive Oppression: The Framework), which is the theoretical engine of the chapter. B.1 (Oppression as a Condition of Consciousness) and B.2 (The Scalability Bridge) are the two subsections that need to be written from scratch.</w:t>
      </w:r>
    </w:p>
    <w:p w14:paraId="2B921B01" w14:textId="77777777" w:rsidR="004E0BFB" w:rsidRDefault="004203D5">
      <w:pPr>
        <w:spacing w:before="200" w:after="120" w:line="360" w:lineRule="auto"/>
      </w:pPr>
      <w:r>
        <w:rPr>
          <w:rFonts w:ascii="Arial" w:eastAsia="Arial" w:hAnsi="Arial" w:cs="Arial"/>
          <w:b/>
          <w:bCs/>
          <w:color w:val="666666"/>
          <w:sz w:val="20"/>
          <w:szCs w:val="20"/>
        </w:rPr>
        <w:t>Comments from your outline that remain open and need to be addressed in Section B:</w:t>
      </w:r>
    </w:p>
    <w:p w14:paraId="1F22BA86" w14:textId="77777777" w:rsidR="004E0BFB" w:rsidRDefault="004203D5">
      <w:pPr>
        <w:spacing w:before="80" w:after="120" w:line="360" w:lineRule="auto"/>
        <w:ind w:left="360"/>
      </w:pPr>
      <w:r>
        <w:rPr>
          <w:rFonts w:ascii="Arial" w:eastAsia="Arial" w:hAnsi="Arial" w:cs="Arial"/>
          <w:color w:val="666666"/>
          <w:sz w:val="20"/>
          <w:szCs w:val="20"/>
        </w:rPr>
        <w:t>Comment 4: "Am I conflating oppression with fairness?" — This gets addressed in B.1 when you define cognitive oppression precisely. Oppression is not unfairness. Unfairness implies a standard that was violated. Oppression, in your framework, is the imposition of a standard before the individual has the cognitive tools to examine whether the standard should apply to them at all. Fairness is a judgment made within a shared framework. Oppression is the framework being imposed without consent.</w:t>
      </w:r>
    </w:p>
    <w:p w14:paraId="125A7342" w14:textId="77777777" w:rsidR="004E0BFB" w:rsidRDefault="004203D5">
      <w:pPr>
        <w:spacing w:before="80" w:after="120" w:line="360" w:lineRule="auto"/>
        <w:ind w:left="360"/>
      </w:pPr>
      <w:r>
        <w:rPr>
          <w:rFonts w:ascii="Arial" w:eastAsia="Arial" w:hAnsi="Arial" w:cs="Arial"/>
          <w:color w:val="666666"/>
          <w:sz w:val="20"/>
          <w:szCs w:val="20"/>
        </w:rPr>
        <w:t>Comments 5–6: "Consciousness A stealing B’s food because he’s stronger is not oppressing him because… why? Why do we need a majority?" — This gets addressed in B.2 Stage 2. The answer: stealing food is an act of force, not oppression. Oppression requires imposed meaning — not just “I took your food” but “you are the kind of being whose food can be taken.” That second move is a reality-defining act, and it requires either a shared narrative (which needs coalition, which needs 3+) or a total asymmetry of cogn</w:t>
      </w:r>
      <w:r>
        <w:rPr>
          <w:rFonts w:ascii="Arial" w:eastAsia="Arial" w:hAnsi="Arial" w:cs="Arial"/>
          <w:color w:val="666666"/>
          <w:sz w:val="20"/>
          <w:szCs w:val="20"/>
        </w:rPr>
        <w:t>itive capacity (which is arguably a form of the first, since the weaker consciousness cannot even conceive of the imposition as unjust). The wolves don’t just eat the sheep. They establish that eating sheep is normal.</w:t>
      </w:r>
    </w:p>
    <w:p w14:paraId="330476E1" w14:textId="77777777" w:rsidR="004E0BFB" w:rsidRDefault="004203D5">
      <w:pPr>
        <w:spacing w:before="80" w:after="120" w:line="360" w:lineRule="auto"/>
        <w:ind w:left="360"/>
      </w:pPr>
      <w:r>
        <w:rPr>
          <w:rFonts w:ascii="Arial" w:eastAsia="Arial" w:hAnsi="Arial" w:cs="Arial"/>
          <w:color w:val="666666"/>
          <w:sz w:val="20"/>
          <w:szCs w:val="20"/>
        </w:rPr>
        <w:t>Comment 7–8: Reality as construct, omnipotence, shared fictions. — Core material for B.2 Stage 4 (scaling through Harari’s shared fictions) and B.4 (universality claim).</w:t>
      </w:r>
    </w:p>
    <w:p w14:paraId="4D516FA7" w14:textId="77777777" w:rsidR="004E0BFB" w:rsidRDefault="004203D5">
      <w:pPr>
        <w:spacing w:before="80" w:after="120" w:line="360" w:lineRule="auto"/>
        <w:ind w:left="360"/>
      </w:pPr>
      <w:r>
        <w:rPr>
          <w:rFonts w:ascii="Arial" w:eastAsia="Arial" w:hAnsi="Arial" w:cs="Arial"/>
          <w:color w:val="666666"/>
          <w:sz w:val="20"/>
          <w:szCs w:val="20"/>
        </w:rPr>
        <w:t>Comment 10: Escaping overexplored identity without “changing skin colors.” — This is E.1 (Agency, Not Elimination) material. The answer isn’t associating with dominant values. It’s developing the metacognitive capacity to examine ALL the values imposed on you — dominant and subordinate — and deciding which ones you keep. Douglass didn’t become white. He developed the cognitive tools to define himself on his own terms. That’s the distinction between assimilation and metacognitive agency.</w:t>
      </w:r>
    </w:p>
    <w:p w14:paraId="4835324F" w14:textId="77777777" w:rsidR="004E0BFB" w:rsidRDefault="004203D5">
      <w:pPr>
        <w:spacing w:before="80" w:after="120" w:line="360" w:lineRule="auto"/>
        <w:ind w:left="360"/>
      </w:pPr>
      <w:r>
        <w:rPr>
          <w:rFonts w:ascii="Arial" w:eastAsia="Arial" w:hAnsi="Arial" w:cs="Arial"/>
          <w:color w:val="666666"/>
          <w:sz w:val="20"/>
          <w:szCs w:val="20"/>
        </w:rPr>
        <w:t>Comment 11: "That comes from my axiometrica calculus." — If the awareness/intent axes in externalized oppression connect to your axiometric calculus work, that’s worth making explicit in D.2 when you get there. Cross-referencing your own theoretical tools strengthens the paper’s internal coherence.</w:t>
      </w:r>
    </w:p>
    <w:p w14:paraId="3BD7D5F8" w14:textId="77777777" w:rsidR="004E0BFB" w:rsidRDefault="004203D5">
      <w:pPr>
        <w:spacing w:before="80" w:after="120" w:line="360" w:lineRule="auto"/>
        <w:ind w:left="360"/>
      </w:pPr>
      <w:r>
        <w:rPr>
          <w:rFonts w:ascii="Arial" w:eastAsia="Arial" w:hAnsi="Arial" w:cs="Arial"/>
          <w:color w:val="666666"/>
          <w:sz w:val="20"/>
          <w:szCs w:val="20"/>
        </w:rPr>
        <w:t>Comment 13: "Metacognition is not natural. It’s not easy. And it’s not taught." — Save for the final line of Section E. Close the chapter with it.</w:t>
      </w:r>
    </w:p>
    <w:sectPr w:rsidR="004E0BFB">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 Cosgrove" w:date="2026-03-23T14:12:00Z" w:initials="WC">
    <w:p w14:paraId="3284984F" w14:textId="77777777" w:rsidR="00E73CA4" w:rsidRDefault="00E73CA4" w:rsidP="00E73CA4">
      <w:pPr>
        <w:pStyle w:val="CommentText"/>
      </w:pPr>
      <w:r>
        <w:rPr>
          <w:rStyle w:val="CommentReference"/>
        </w:rPr>
        <w:annotationRef/>
      </w:r>
      <w:r>
        <w:t>Is this version of conservative modernazation propperly explored in the previous seciton? Meaning is it clear that it’s not political conservatism; it’s just the logical conclusion of conservative nature: preserve the structure that benefits themselves</w:t>
      </w:r>
    </w:p>
  </w:comment>
  <w:comment w:id="1" w:author="Wil Cosgrove" w:date="2026-03-23T14:11:00Z" w:initials="WC">
    <w:p w14:paraId="728EE740" w14:textId="77777777" w:rsidR="00E73CA4" w:rsidRDefault="00E73CA4" w:rsidP="00E73CA4">
      <w:pPr>
        <w:pStyle w:val="CommentText"/>
      </w:pPr>
      <w:r>
        <w:rPr>
          <w:rStyle w:val="CommentReference"/>
        </w:rPr>
        <w:annotationRef/>
      </w:r>
      <w:r>
        <w:t>Do we need examples from other eras?</w:t>
      </w:r>
    </w:p>
  </w:comment>
  <w:comment w:id="2" w:author="Wil Cosgrove" w:date="2026-03-23T14:17:00Z" w:initials="WC">
    <w:p w14:paraId="34469607" w14:textId="77777777" w:rsidR="00622B30" w:rsidRDefault="00622B30" w:rsidP="00622B30">
      <w:pPr>
        <w:pStyle w:val="CommentText"/>
      </w:pPr>
      <w:r>
        <w:rPr>
          <w:rStyle w:val="CommentReference"/>
        </w:rPr>
        <w:annotationRef/>
      </w:r>
      <w:r>
        <w:t xml:space="preserve">This (obviously) is not just about race. But it is dependent on race. So when I say progressives encounter it as a constraint, it’s not just black or muslim progressives. It’s those who hold values not in the dominant narrative. For instance, an anti-racist educator who’s white can definitely be a progressive with the constraint being racist curriculum. And a black billionaire may encourage the dominant modernization because he aligns more with their values. </w:t>
      </w:r>
    </w:p>
  </w:comment>
  <w:comment w:id="3" w:author="Wil Cosgrove" w:date="2026-03-23T14:22:00Z" w:initials="WC">
    <w:p w14:paraId="76E40232" w14:textId="77777777" w:rsidR="00E4344F" w:rsidRDefault="00E4344F" w:rsidP="00E4344F">
      <w:pPr>
        <w:pStyle w:val="CommentText"/>
      </w:pPr>
      <w:r>
        <w:rPr>
          <w:rStyle w:val="CommentReference"/>
        </w:rPr>
        <w:annotationRef/>
      </w:r>
      <w:r>
        <w:t>Use citations</w:t>
      </w:r>
    </w:p>
  </w:comment>
  <w:comment w:id="4" w:author="Wil Cosgrove" w:date="2026-03-23T14:23:00Z" w:initials="WC">
    <w:p w14:paraId="37434840" w14:textId="77777777" w:rsidR="003731E1" w:rsidRDefault="003731E1" w:rsidP="003731E1">
      <w:pPr>
        <w:pStyle w:val="CommentText"/>
      </w:pPr>
      <w:r>
        <w:rPr>
          <w:rStyle w:val="CommentReference"/>
        </w:rPr>
        <w:annotationRef/>
      </w:r>
      <w:r>
        <w:t>I think I should delete this</w:t>
      </w:r>
    </w:p>
  </w:comment>
  <w:comment w:id="5" w:author="Wil Cosgrove" w:date="2026-03-23T14:23:00Z" w:initials="WC">
    <w:p w14:paraId="79CC6A61" w14:textId="77777777" w:rsidR="0015518B" w:rsidRDefault="0015518B" w:rsidP="0015518B">
      <w:pPr>
        <w:pStyle w:val="CommentText"/>
      </w:pPr>
      <w:r>
        <w:rPr>
          <w:rStyle w:val="CommentReference"/>
        </w:rPr>
        <w:annotationRef/>
      </w:r>
      <w:r>
        <w:t>More citations</w:t>
      </w:r>
    </w:p>
  </w:comment>
  <w:comment w:id="6" w:author="Wil Cosgrove" w:date="2026-03-23T14:28:00Z" w:initials="WC">
    <w:p w14:paraId="149494A8" w14:textId="77777777" w:rsidR="002303EF" w:rsidRDefault="002303EF" w:rsidP="002303EF">
      <w:pPr>
        <w:pStyle w:val="CommentText"/>
      </w:pPr>
      <w:r>
        <w:rPr>
          <w:rStyle w:val="CommentReference"/>
        </w:rPr>
        <w:annotationRef/>
      </w:r>
      <w:r>
        <w:t>Stress test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84984F" w15:done="0"/>
  <w15:commentEx w15:paraId="728EE740" w15:done="0"/>
  <w15:commentEx w15:paraId="34469607" w15:done="0"/>
  <w15:commentEx w15:paraId="76E40232" w15:done="0"/>
  <w15:commentEx w15:paraId="37434840" w15:done="0"/>
  <w15:commentEx w15:paraId="79CC6A61" w15:done="0"/>
  <w15:commentEx w15:paraId="149494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ADBC49" w16cex:dateUtc="2026-03-23T18:12:00Z"/>
  <w16cex:commentExtensible w16cex:durableId="6B1D02A8" w16cex:dateUtc="2026-03-23T18:11:00Z"/>
  <w16cex:commentExtensible w16cex:durableId="0C31196B" w16cex:dateUtc="2026-03-23T18:17:00Z"/>
  <w16cex:commentExtensible w16cex:durableId="540FBD2B" w16cex:dateUtc="2026-03-23T18:22:00Z"/>
  <w16cex:commentExtensible w16cex:durableId="31A2EC70" w16cex:dateUtc="2026-03-23T18:23:00Z"/>
  <w16cex:commentExtensible w16cex:durableId="6515B2D2" w16cex:dateUtc="2026-03-23T18:23:00Z"/>
  <w16cex:commentExtensible w16cex:durableId="37C9D56C" w16cex:dateUtc="2026-03-23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84984F" w16cid:durableId="35ADBC49"/>
  <w16cid:commentId w16cid:paraId="728EE740" w16cid:durableId="6B1D02A8"/>
  <w16cid:commentId w16cid:paraId="34469607" w16cid:durableId="0C31196B"/>
  <w16cid:commentId w16cid:paraId="76E40232" w16cid:durableId="540FBD2B"/>
  <w16cid:commentId w16cid:paraId="37434840" w16cid:durableId="31A2EC70"/>
  <w16cid:commentId w16cid:paraId="79CC6A61" w16cid:durableId="6515B2D2"/>
  <w16cid:commentId w16cid:paraId="149494A8" w16cid:durableId="37C9D5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B3217"/>
    <w:multiLevelType w:val="hybridMultilevel"/>
    <w:tmpl w:val="9A507160"/>
    <w:lvl w:ilvl="0" w:tplc="E3D85930">
      <w:start w:val="1"/>
      <w:numFmt w:val="bullet"/>
      <w:lvlText w:val="●"/>
      <w:lvlJc w:val="left"/>
      <w:pPr>
        <w:ind w:left="720" w:hanging="360"/>
      </w:pPr>
    </w:lvl>
    <w:lvl w:ilvl="1" w:tplc="F2FE9044">
      <w:start w:val="1"/>
      <w:numFmt w:val="bullet"/>
      <w:lvlText w:val="○"/>
      <w:lvlJc w:val="left"/>
      <w:pPr>
        <w:ind w:left="1440" w:hanging="360"/>
      </w:pPr>
    </w:lvl>
    <w:lvl w:ilvl="2" w:tplc="F1BEB2BA">
      <w:start w:val="1"/>
      <w:numFmt w:val="bullet"/>
      <w:lvlText w:val="■"/>
      <w:lvlJc w:val="left"/>
      <w:pPr>
        <w:ind w:left="2160" w:hanging="360"/>
      </w:pPr>
    </w:lvl>
    <w:lvl w:ilvl="3" w:tplc="0F2AFD32">
      <w:start w:val="1"/>
      <w:numFmt w:val="bullet"/>
      <w:lvlText w:val="●"/>
      <w:lvlJc w:val="left"/>
      <w:pPr>
        <w:ind w:left="2880" w:hanging="360"/>
      </w:pPr>
    </w:lvl>
    <w:lvl w:ilvl="4" w:tplc="2FECC0C4">
      <w:start w:val="1"/>
      <w:numFmt w:val="bullet"/>
      <w:lvlText w:val="○"/>
      <w:lvlJc w:val="left"/>
      <w:pPr>
        <w:ind w:left="3600" w:hanging="360"/>
      </w:pPr>
    </w:lvl>
    <w:lvl w:ilvl="5" w:tplc="9A042094">
      <w:start w:val="1"/>
      <w:numFmt w:val="bullet"/>
      <w:lvlText w:val="■"/>
      <w:lvlJc w:val="left"/>
      <w:pPr>
        <w:ind w:left="4320" w:hanging="360"/>
      </w:pPr>
    </w:lvl>
    <w:lvl w:ilvl="6" w:tplc="3B36E9BA">
      <w:start w:val="1"/>
      <w:numFmt w:val="bullet"/>
      <w:lvlText w:val="●"/>
      <w:lvlJc w:val="left"/>
      <w:pPr>
        <w:ind w:left="5040" w:hanging="360"/>
      </w:pPr>
    </w:lvl>
    <w:lvl w:ilvl="7" w:tplc="42CE2922">
      <w:start w:val="1"/>
      <w:numFmt w:val="bullet"/>
      <w:lvlText w:val="●"/>
      <w:lvlJc w:val="left"/>
      <w:pPr>
        <w:ind w:left="5760" w:hanging="360"/>
      </w:pPr>
    </w:lvl>
    <w:lvl w:ilvl="8" w:tplc="54744AE6">
      <w:start w:val="1"/>
      <w:numFmt w:val="bullet"/>
      <w:lvlText w:val="●"/>
      <w:lvlJc w:val="left"/>
      <w:pPr>
        <w:ind w:left="6480" w:hanging="360"/>
      </w:pPr>
    </w:lvl>
  </w:abstractNum>
  <w:num w:numId="1" w16cid:durableId="35207446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Cosgrove">
    <w15:presenceInfo w15:providerId="Windows Live" w15:userId="306745ec8e044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BFB"/>
    <w:rsid w:val="0015518B"/>
    <w:rsid w:val="00192C1B"/>
    <w:rsid w:val="001B343A"/>
    <w:rsid w:val="002303EF"/>
    <w:rsid w:val="002573CD"/>
    <w:rsid w:val="002D343E"/>
    <w:rsid w:val="003731E1"/>
    <w:rsid w:val="003A40A9"/>
    <w:rsid w:val="004203D5"/>
    <w:rsid w:val="004E0BFB"/>
    <w:rsid w:val="00622B30"/>
    <w:rsid w:val="00625619"/>
    <w:rsid w:val="00707778"/>
    <w:rsid w:val="007C5019"/>
    <w:rsid w:val="00C407E9"/>
    <w:rsid w:val="00D41AD0"/>
    <w:rsid w:val="00E21CA6"/>
    <w:rsid w:val="00E36B18"/>
    <w:rsid w:val="00E4344F"/>
    <w:rsid w:val="00E73CA4"/>
    <w:rsid w:val="00EA5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7EDDA"/>
  <w15:docId w15:val="{FCA6362E-FDCF-477C-9B5D-F5C46C47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E73CA4"/>
    <w:rPr>
      <w:sz w:val="16"/>
      <w:szCs w:val="16"/>
    </w:rPr>
  </w:style>
  <w:style w:type="paragraph" w:styleId="CommentText">
    <w:name w:val="annotation text"/>
    <w:basedOn w:val="Normal"/>
    <w:link w:val="CommentTextChar"/>
    <w:uiPriority w:val="99"/>
    <w:unhideWhenUsed/>
    <w:rsid w:val="00E73CA4"/>
    <w:rPr>
      <w:sz w:val="20"/>
      <w:szCs w:val="20"/>
    </w:rPr>
  </w:style>
  <w:style w:type="character" w:customStyle="1" w:styleId="CommentTextChar">
    <w:name w:val="Comment Text Char"/>
    <w:basedOn w:val="DefaultParagraphFont"/>
    <w:link w:val="CommentText"/>
    <w:uiPriority w:val="99"/>
    <w:rsid w:val="00E73CA4"/>
    <w:rPr>
      <w:sz w:val="20"/>
      <w:szCs w:val="20"/>
    </w:rPr>
  </w:style>
  <w:style w:type="paragraph" w:styleId="CommentSubject">
    <w:name w:val="annotation subject"/>
    <w:basedOn w:val="CommentText"/>
    <w:next w:val="CommentText"/>
    <w:link w:val="CommentSubjectChar"/>
    <w:uiPriority w:val="99"/>
    <w:semiHidden/>
    <w:unhideWhenUsed/>
    <w:rsid w:val="00E73CA4"/>
    <w:rPr>
      <w:b/>
      <w:bCs/>
    </w:rPr>
  </w:style>
  <w:style w:type="character" w:customStyle="1" w:styleId="CommentSubjectChar">
    <w:name w:val="Comment Subject Char"/>
    <w:basedOn w:val="CommentTextChar"/>
    <w:link w:val="CommentSubject"/>
    <w:uiPriority w:val="99"/>
    <w:semiHidden/>
    <w:rsid w:val="00E73C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2786</Words>
  <Characters>14437</Characters>
  <Application>Microsoft Office Word</Application>
  <DocSecurity>0</DocSecurity>
  <Lines>253</Lines>
  <Paragraphs>86</Paragraphs>
  <ScaleCrop>false</ScaleCrop>
  <Company/>
  <LinksUpToDate>false</LinksUpToDate>
  <CharactersWithSpaces>17137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Wil Cosgrove</cp:lastModifiedBy>
  <cp:revision>2</cp:revision>
  <dcterms:created xsi:type="dcterms:W3CDTF">2026-03-23T18:31:00Z</dcterms:created>
  <dcterms:modified xsi:type="dcterms:W3CDTF">2026-03-23T18:31:00Z</dcterms:modified>
</cp:coreProperties>
</file>