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D605" w14:textId="77777777" w:rsidR="00BA7132" w:rsidRPr="00106A8F" w:rsidRDefault="00BA7132" w:rsidP="00BA7132">
      <w:pPr>
        <w:pStyle w:val="Heading1"/>
        <w:rPr>
          <w:color w:val="4D4D4D" w:themeColor="accent6"/>
        </w:rPr>
      </w:pPr>
      <w:r w:rsidRPr="00106A8F">
        <w:rPr>
          <w:caps w:val="0"/>
          <w:color w:val="4D4D4D" w:themeColor="accent6"/>
        </w:rPr>
        <w:t>THERMOMETERS THAT CONTROL THE WEATHER</w:t>
      </w:r>
    </w:p>
    <w:p w14:paraId="074C4633" w14:textId="77777777" w:rsidR="00BA7132" w:rsidRPr="00106A8F" w:rsidRDefault="00BA7132" w:rsidP="00BA7132">
      <w:pPr>
        <w:pStyle w:val="Heading2"/>
        <w:spacing w:after="240"/>
        <w:rPr>
          <w:color w:val="4D4D4D" w:themeColor="accent6"/>
          <w:sz w:val="24"/>
          <w:szCs w:val="24"/>
        </w:rPr>
      </w:pPr>
      <w:r w:rsidRPr="00106A8F">
        <w:rPr>
          <w:color w:val="4D4D4D" w:themeColor="accent6"/>
          <w:sz w:val="24"/>
          <w:szCs w:val="24"/>
        </w:rPr>
        <w:t>Microscopes and Satellites</w:t>
      </w:r>
    </w:p>
    <w:p w14:paraId="142DD7D7" w14:textId="77777777" w:rsidR="00BA7132"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 xml:space="preserve">If curriculum shows what schools value, assessment shows what schools are willing to call “evidence.” Ever since Ralph Tyler outlined his model in </w:t>
      </w:r>
      <w:r w:rsidRPr="009F2929">
        <w:rPr>
          <w:rFonts w:ascii="Microsoft PhagsPa" w:hAnsi="Microsoft PhagsPa"/>
          <w:i/>
          <w:iCs/>
          <w:color w:val="4D4D4D" w:themeColor="accent6"/>
        </w:rPr>
        <w:t>Basic Principles of Curriculum and Instruction</w:t>
      </w:r>
      <w:r w:rsidRPr="009F2929">
        <w:rPr>
          <w:rFonts w:ascii="Microsoft PhagsPa" w:hAnsi="Microsoft PhagsPa"/>
          <w:color w:val="4D4D4D" w:themeColor="accent6"/>
        </w:rPr>
        <w:t xml:space="preserve">, the official purpose of assessment has been pretty simple: check whether students accomplished the objective (Tyler, 1949, p. 104). </w:t>
      </w:r>
      <w:r>
        <w:rPr>
          <w:rFonts w:ascii="Microsoft PhagsPa" w:hAnsi="Microsoft PhagsPa"/>
          <w:color w:val="4D4D4D" w:themeColor="accent6"/>
        </w:rPr>
        <w:t xml:space="preserve">However, when states and federal governments attempt to assess individuals collectively, they’re forced to choose an objective assessable across 55 million students. </w:t>
      </w:r>
    </w:p>
    <w:p w14:paraId="3DBE0742"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In a one-on-one setting,</w:t>
      </w:r>
      <w:r>
        <w:rPr>
          <w:rFonts w:ascii="Microsoft PhagsPa" w:hAnsi="Microsoft PhagsPa"/>
          <w:color w:val="4D4D4D" w:themeColor="accent6"/>
        </w:rPr>
        <w:t xml:space="preserve"> objective design tends to allow for more flexibility which in turn provides flexibility in assessment</w:t>
      </w:r>
      <w:r w:rsidRPr="009F2929">
        <w:rPr>
          <w:rFonts w:ascii="Microsoft PhagsPa" w:hAnsi="Microsoft PhagsPa"/>
          <w:color w:val="4D4D4D" w:themeColor="accent6"/>
        </w:rPr>
        <w:t>. A tutor who meets with a student for hours each week can read the cues we rarely write down</w:t>
      </w:r>
      <w:r>
        <w:rPr>
          <w:rFonts w:ascii="Microsoft PhagsPa" w:hAnsi="Microsoft PhagsPa"/>
          <w:color w:val="4D4D4D" w:themeColor="accent6"/>
        </w:rPr>
        <w:t xml:space="preserve"> such as </w:t>
      </w:r>
      <w:r w:rsidRPr="009F2929">
        <w:rPr>
          <w:rFonts w:ascii="Microsoft PhagsPa" w:hAnsi="Microsoft PhagsPa"/>
          <w:color w:val="4D4D4D" w:themeColor="accent6"/>
        </w:rPr>
        <w:t xml:space="preserve">how a student explains their thinking, whether they hesitate, when their confidence drops, or how quickly they bounce back from mistakes. Even a single classroom teacher can </w:t>
      </w:r>
      <w:r>
        <w:rPr>
          <w:rFonts w:ascii="Microsoft PhagsPa" w:hAnsi="Microsoft PhagsPa"/>
          <w:color w:val="4D4D4D" w:themeColor="accent6"/>
        </w:rPr>
        <w:t>generally</w:t>
      </w:r>
      <w:r w:rsidRPr="009F2929">
        <w:rPr>
          <w:rFonts w:ascii="Microsoft PhagsPa" w:hAnsi="Microsoft PhagsPa"/>
          <w:color w:val="4D4D4D" w:themeColor="accent6"/>
        </w:rPr>
        <w:t xml:space="preserve"> tell which students understand something and which ones are lost.</w:t>
      </w:r>
    </w:p>
    <w:p w14:paraId="3E2932A3"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The problem isn’t assessment itself. It’s what happens the moment we try to scale that idea beyond human relationships. One teacher can know thirty students well. A school can track patterns across a grade. But districts, states, test publishers, policymakers, and college admissions offices can’t rely on relationships. They rely on numbers. They need something they can compare across classrooms, cities, states, and eventually the entire country.</w:t>
      </w:r>
    </w:p>
    <w:p w14:paraId="4D8871E1"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And that is where the logic falls apart. Sullivan writes that “validity is not a property of a test but of the use to which that test is put” (Sullivan, 2023, p. 119). An assessment that helps one teacher understand a student</w:t>
      </w:r>
      <w:r>
        <w:rPr>
          <w:rFonts w:ascii="Microsoft PhagsPa" w:hAnsi="Microsoft PhagsPa"/>
          <w:color w:val="4D4D4D" w:themeColor="accent6"/>
        </w:rPr>
        <w:t>,</w:t>
      </w:r>
      <w:r w:rsidRPr="009F2929">
        <w:rPr>
          <w:rFonts w:ascii="Microsoft PhagsPa" w:hAnsi="Microsoft PhagsPa"/>
          <w:color w:val="4D4D4D" w:themeColor="accent6"/>
        </w:rPr>
        <w:t xml:space="preserve"> may be completely invalid when used to allocate state funding or determine college readiness. Yet our system keeps insisting that one assessment can serve every audience. That insistence creates the illusion that learning is something you can compress into a single metric</w:t>
      </w:r>
      <w:r>
        <w:rPr>
          <w:rFonts w:ascii="Microsoft PhagsPa" w:hAnsi="Microsoft PhagsPa"/>
          <w:color w:val="4D4D4D" w:themeColor="accent6"/>
        </w:rPr>
        <w:t xml:space="preserve">; </w:t>
      </w:r>
      <w:r w:rsidRPr="009F2929">
        <w:rPr>
          <w:rFonts w:ascii="Microsoft PhagsPa" w:hAnsi="Microsoft PhagsPa"/>
          <w:color w:val="4D4D4D" w:themeColor="accent6"/>
        </w:rPr>
        <w:t>the farther you get from the individual student, the more absurd the claim becomes.</w:t>
      </w:r>
    </w:p>
    <w:p w14:paraId="06859657" w14:textId="77777777" w:rsidR="00BA7132" w:rsidRPr="00106A8F" w:rsidRDefault="00BA7132" w:rsidP="00BA7132">
      <w:pPr>
        <w:pStyle w:val="Heading2"/>
        <w:spacing w:after="240"/>
        <w:rPr>
          <w:color w:val="4D4D4D" w:themeColor="accent6"/>
          <w:sz w:val="24"/>
          <w:szCs w:val="24"/>
        </w:rPr>
      </w:pPr>
      <w:r w:rsidRPr="00106A8F">
        <w:rPr>
          <w:color w:val="4D4D4D" w:themeColor="accent6"/>
          <w:sz w:val="24"/>
          <w:szCs w:val="24"/>
        </w:rPr>
        <w:t>One Key for Every Door</w:t>
      </w:r>
    </w:p>
    <w:p w14:paraId="4DE533AA"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 xml:space="preserve">No example captures </w:t>
      </w:r>
      <w:r>
        <w:rPr>
          <w:rFonts w:ascii="Microsoft PhagsPa" w:hAnsi="Microsoft PhagsPa"/>
          <w:color w:val="4D4D4D" w:themeColor="accent6"/>
        </w:rPr>
        <w:t>the bias of assessments</w:t>
      </w:r>
      <w:r w:rsidRPr="009F2929">
        <w:rPr>
          <w:rFonts w:ascii="Microsoft PhagsPa" w:hAnsi="Microsoft PhagsPa"/>
          <w:color w:val="4D4D4D" w:themeColor="accent6"/>
        </w:rPr>
        <w:t xml:space="preserve"> better than literacy tests. Literacy has become the national shorthand for comprehension, intelligence, readiness, and even</w:t>
      </w:r>
      <w:r w:rsidRPr="00106A8F">
        <w:rPr>
          <w:rFonts w:ascii="Microsoft PhagsPa" w:hAnsi="Microsoft PhagsPa"/>
          <w:color w:val="4D4D4D" w:themeColor="accent6"/>
        </w:rPr>
        <w:t xml:space="preserve">, at times, </w:t>
      </w:r>
      <w:r w:rsidRPr="009F2929">
        <w:rPr>
          <w:rFonts w:ascii="Microsoft PhagsPa" w:hAnsi="Microsoft PhagsPa"/>
          <w:color w:val="4D4D4D" w:themeColor="accent6"/>
        </w:rPr>
        <w:t xml:space="preserve">moral worth. </w:t>
      </w:r>
      <w:r w:rsidRPr="009F2929">
        <w:rPr>
          <w:rFonts w:ascii="Microsoft PhagsPa" w:hAnsi="Microsoft PhagsPa"/>
          <w:color w:val="4D4D4D" w:themeColor="accent6"/>
        </w:rPr>
        <w:lastRenderedPageBreak/>
        <w:t xml:space="preserve">EdReports, one of the most influential curriculum review organizations, builds its entire ELA review system on literacy benchmarks. Their K–5 and 6–8 indicators require materials to align with grade-level reading, foundational skills, and text-dependent questions (EdReports, 2024). States use these same assumptions when adopting materials. Districts follow suit. And because the Science of Reading </w:t>
      </w:r>
      <w:commentRangeStart w:id="0"/>
      <w:r w:rsidRPr="009F2929">
        <w:rPr>
          <w:rFonts w:ascii="Microsoft PhagsPa" w:hAnsi="Microsoft PhagsPa"/>
          <w:color w:val="4D4D4D" w:themeColor="accent6"/>
        </w:rPr>
        <w:t xml:space="preserve">movement </w:t>
      </w:r>
      <w:commentRangeEnd w:id="0"/>
      <w:r w:rsidRPr="009F2929">
        <w:rPr>
          <w:rStyle w:val="CommentReference"/>
          <w:rFonts w:ascii="Microsoft PhagsPa" w:hAnsi="Microsoft PhagsPa"/>
          <w:color w:val="4D4D4D" w:themeColor="accent6"/>
          <w:sz w:val="22"/>
          <w:szCs w:val="22"/>
        </w:rPr>
        <w:commentReference w:id="0"/>
      </w:r>
      <w:r w:rsidRPr="009F2929">
        <w:rPr>
          <w:rFonts w:ascii="Microsoft PhagsPa" w:hAnsi="Microsoft PhagsPa"/>
          <w:color w:val="4D4D4D" w:themeColor="accent6"/>
        </w:rPr>
        <w:t xml:space="preserve">has reshaped literacy policy nationwide, the sequence of </w:t>
      </w:r>
      <w:r w:rsidRPr="00FC4187">
        <w:rPr>
          <w:rFonts w:ascii="Microsoft PhagsPa" w:hAnsi="Microsoft PhagsPa"/>
          <w:i/>
          <w:iCs/>
          <w:color w:val="4D4D4D" w:themeColor="accent6"/>
        </w:rPr>
        <w:t xml:space="preserve">decoding </w:t>
      </w:r>
      <w:r w:rsidRPr="00FC4187">
        <w:rPr>
          <w:rFonts w:ascii="Arial" w:hAnsi="Arial" w:cs="Arial"/>
          <w:i/>
          <w:iCs/>
          <w:color w:val="4D4D4D" w:themeColor="accent6"/>
        </w:rPr>
        <w:t>→</w:t>
      </w:r>
      <w:r w:rsidRPr="00FC4187">
        <w:rPr>
          <w:rFonts w:ascii="Microsoft PhagsPa" w:hAnsi="Microsoft PhagsPa"/>
          <w:i/>
          <w:iCs/>
          <w:color w:val="4D4D4D" w:themeColor="accent6"/>
        </w:rPr>
        <w:t xml:space="preserve"> phonics </w:t>
      </w:r>
      <w:r w:rsidRPr="00FC4187">
        <w:rPr>
          <w:rFonts w:ascii="Arial" w:hAnsi="Arial" w:cs="Arial"/>
          <w:i/>
          <w:iCs/>
          <w:color w:val="4D4D4D" w:themeColor="accent6"/>
        </w:rPr>
        <w:t>→</w:t>
      </w:r>
      <w:r w:rsidRPr="00FC4187">
        <w:rPr>
          <w:rFonts w:ascii="Microsoft PhagsPa" w:hAnsi="Microsoft PhagsPa"/>
          <w:i/>
          <w:iCs/>
          <w:color w:val="4D4D4D" w:themeColor="accent6"/>
        </w:rPr>
        <w:t xml:space="preserve"> comprehension</w:t>
      </w:r>
      <w:r w:rsidRPr="009F2929">
        <w:rPr>
          <w:rFonts w:ascii="Microsoft PhagsPa" w:hAnsi="Microsoft PhagsPa"/>
          <w:color w:val="4D4D4D" w:themeColor="accent6"/>
        </w:rPr>
        <w:t xml:space="preserve"> </w:t>
      </w:r>
      <w:r w:rsidRPr="00106A8F">
        <w:rPr>
          <w:rFonts w:ascii="Microsoft PhagsPa" w:hAnsi="Microsoft PhagsPa"/>
          <w:color w:val="4D4D4D" w:themeColor="accent6"/>
        </w:rPr>
        <w:t xml:space="preserve">is often treated as scientific inevitability in policy and curriculum adoption debates </w:t>
      </w:r>
      <w:r w:rsidRPr="009F2929">
        <w:rPr>
          <w:rFonts w:ascii="Microsoft PhagsPa" w:hAnsi="Microsoft PhagsPa"/>
          <w:color w:val="4D4D4D" w:themeColor="accent6"/>
        </w:rPr>
        <w:t>(Castles, Rastle, &amp; Nation, 2018).</w:t>
      </w:r>
    </w:p>
    <w:p w14:paraId="6CFBD31A" w14:textId="77777777" w:rsidR="00BA7132"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 xml:space="preserve">On paper, the logic is </w:t>
      </w:r>
      <w:r>
        <w:rPr>
          <w:rFonts w:ascii="Microsoft PhagsPa" w:hAnsi="Microsoft PhagsPa"/>
          <w:color w:val="4D4D4D" w:themeColor="accent6"/>
        </w:rPr>
        <w:t>seems approachable</w:t>
      </w:r>
      <w:r w:rsidRPr="009F2929">
        <w:rPr>
          <w:rFonts w:ascii="Microsoft PhagsPa" w:hAnsi="Microsoft PhagsPa"/>
          <w:color w:val="4D4D4D" w:themeColor="accent6"/>
        </w:rPr>
        <w:t xml:space="preserve">. If comprehension depends on phonics, and phonics depends on decoding, then the </w:t>
      </w:r>
      <w:r>
        <w:rPr>
          <w:rFonts w:ascii="Microsoft PhagsPa" w:hAnsi="Microsoft PhagsPa"/>
          <w:color w:val="4D4D4D" w:themeColor="accent6"/>
        </w:rPr>
        <w:t>best</w:t>
      </w:r>
      <w:r w:rsidRPr="009F2929">
        <w:rPr>
          <w:rFonts w:ascii="Microsoft PhagsPa" w:hAnsi="Microsoft PhagsPa"/>
          <w:color w:val="4D4D4D" w:themeColor="accent6"/>
        </w:rPr>
        <w:t xml:space="preserve"> way to measure understanding is through literacy. And if that’s true, literacy scores reveal exactly where a student stands.</w:t>
      </w:r>
      <w:r>
        <w:rPr>
          <w:rFonts w:ascii="Microsoft PhagsPa" w:hAnsi="Microsoft PhagsPa"/>
          <w:color w:val="4D4D4D" w:themeColor="accent6"/>
        </w:rPr>
        <w:t xml:space="preserve"> But what about deaf students who never learn reading comprehension through verbal assessments? </w:t>
      </w:r>
    </w:p>
    <w:p w14:paraId="13DE7E31"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A deaf student who uses ASL may not process sound-based phonics at all. But that has nothing to do with whether they can understand a plot, analyze a theme, or interpret a character’s motivations. Plenty of deaf students can comprehend complex texts but do not “sound out” English words in the way SoR frameworks require. They can demonstrate comprehension by signing an explanation, retelling the story visually, or drawing a scene that captures the emotional core. All of these are legitimate demonstrations of understanding.</w:t>
      </w:r>
    </w:p>
    <w:p w14:paraId="599BC716"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So if a deaf student can comprehend a story but cannot pass a phonics-based literacy test, what is the test measuring? It isn’t comprehension. It’s conformity to one communication mode.</w:t>
      </w:r>
    </w:p>
    <w:p w14:paraId="4831740E"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This is exactly why Grant Wiggins pushes the</w:t>
      </w:r>
      <w:r>
        <w:rPr>
          <w:rFonts w:ascii="Microsoft PhagsPa" w:hAnsi="Microsoft PhagsPa"/>
          <w:color w:val="4D4D4D" w:themeColor="accent6"/>
        </w:rPr>
        <w:t>se</w:t>
      </w:r>
      <w:r w:rsidRPr="009F2929">
        <w:rPr>
          <w:rFonts w:ascii="Microsoft PhagsPa" w:hAnsi="Microsoft PhagsPa"/>
          <w:color w:val="4D4D4D" w:themeColor="accent6"/>
        </w:rPr>
        <w:t xml:space="preserve"> </w:t>
      </w:r>
      <w:r>
        <w:rPr>
          <w:rFonts w:ascii="Microsoft PhagsPa" w:hAnsi="Microsoft PhagsPa"/>
          <w:color w:val="4D4D4D" w:themeColor="accent6"/>
        </w:rPr>
        <w:t>questions be asked when designing assessments</w:t>
      </w:r>
      <w:r w:rsidRPr="009F2929">
        <w:rPr>
          <w:rFonts w:ascii="Microsoft PhagsPa" w:hAnsi="Microsoft PhagsPa"/>
          <w:color w:val="4D4D4D" w:themeColor="accent6"/>
        </w:rPr>
        <w:t>:</w:t>
      </w:r>
    </w:p>
    <w:p w14:paraId="2C3E077E" w14:textId="77777777" w:rsidR="00BA7132" w:rsidRPr="009F2929" w:rsidRDefault="00BA7132" w:rsidP="00BA7132">
      <w:pPr>
        <w:numPr>
          <w:ilvl w:val="0"/>
          <w:numId w:val="1"/>
        </w:numPr>
        <w:spacing w:after="160"/>
        <w:rPr>
          <w:rFonts w:ascii="Microsoft PhagsPa" w:hAnsi="Microsoft PhagsPa"/>
          <w:color w:val="4D4D4D" w:themeColor="accent6"/>
        </w:rPr>
      </w:pPr>
      <w:r w:rsidRPr="009F2929">
        <w:rPr>
          <w:rFonts w:ascii="Microsoft PhagsPa" w:hAnsi="Microsoft PhagsPa"/>
          <w:color w:val="4D4D4D" w:themeColor="accent6"/>
        </w:rPr>
        <w:t>Could a student succeed on this assessment for reasons unrelated to understanding?</w:t>
      </w:r>
    </w:p>
    <w:p w14:paraId="62B22E69" w14:textId="77777777" w:rsidR="00BA7132" w:rsidRPr="009F2929" w:rsidRDefault="00BA7132" w:rsidP="00BA7132">
      <w:pPr>
        <w:numPr>
          <w:ilvl w:val="0"/>
          <w:numId w:val="1"/>
        </w:numPr>
        <w:spacing w:after="160"/>
        <w:rPr>
          <w:rFonts w:ascii="Microsoft PhagsPa" w:hAnsi="Microsoft PhagsPa"/>
          <w:color w:val="4D4D4D" w:themeColor="accent6"/>
        </w:rPr>
      </w:pPr>
      <w:r w:rsidRPr="009F2929">
        <w:rPr>
          <w:rFonts w:ascii="Microsoft PhagsPa" w:hAnsi="Microsoft PhagsPa"/>
          <w:color w:val="4D4D4D" w:themeColor="accent6"/>
        </w:rPr>
        <w:t>Could a student fail for reasons unrelated to understanding?</w:t>
      </w:r>
    </w:p>
    <w:p w14:paraId="68AB507A"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(Wiggins, 1998, p. 32)</w:t>
      </w:r>
    </w:p>
    <w:p w14:paraId="0F3B4C76"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A deaf student fails phonics not because they cannot think</w:t>
      </w:r>
      <w:r w:rsidRPr="00106A8F">
        <w:rPr>
          <w:rFonts w:ascii="Microsoft PhagsPa" w:hAnsi="Microsoft PhagsPa"/>
          <w:color w:val="4D4D4D" w:themeColor="accent6"/>
        </w:rPr>
        <w:t>,</w:t>
      </w:r>
      <w:r w:rsidRPr="009F2929">
        <w:rPr>
          <w:rFonts w:ascii="Microsoft PhagsPa" w:hAnsi="Microsoft PhagsPa"/>
          <w:color w:val="4D4D4D" w:themeColor="accent6"/>
        </w:rPr>
        <w:t xml:space="preserve"> but because the assessment was never built for them. An emergent bilingual student could understand a story perfectly but struggle with English decoding. A highly verbal first grader might analyze a book beautifully in conversation but cannot yet write a paragraph.</w:t>
      </w:r>
      <w:r w:rsidRPr="00106A8F">
        <w:rPr>
          <w:rFonts w:ascii="Microsoft PhagsPa" w:hAnsi="Microsoft PhagsPa"/>
          <w:color w:val="4D4D4D" w:themeColor="accent6"/>
        </w:rPr>
        <w:t xml:space="preserve"> </w:t>
      </w:r>
      <w:r w:rsidRPr="009F2929">
        <w:rPr>
          <w:rFonts w:ascii="Microsoft PhagsPa" w:hAnsi="Microsoft PhagsPa"/>
          <w:color w:val="4D4D4D" w:themeColor="accent6"/>
        </w:rPr>
        <w:t>These aren’t failures of comprehension. They are failures of measurement.</w:t>
      </w:r>
    </w:p>
    <w:p w14:paraId="70F1132C"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lastRenderedPageBreak/>
        <w:t>If literacy were actually about meaning-making, then a child’s drawing of a rabbit after reading a rabbit story would count. A conversation with a teacher would count. A performance, a retelling, or a visual explanation would count. But the system cares less about comprehension and more about demonstrating comprehension in one narrow, English-based, sound-based form.</w:t>
      </w:r>
    </w:p>
    <w:p w14:paraId="6B7963B0"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That is why the deaf student comparison matters so much. It reveals a truth the system tries very hard to ignore: literacy is not a universal measure of understanding. It is a cultural choice disguised as a cognitive necessity.</w:t>
      </w:r>
    </w:p>
    <w:p w14:paraId="2AF23593" w14:textId="77777777" w:rsidR="00BA7132" w:rsidRPr="00106A8F" w:rsidRDefault="00BA7132" w:rsidP="00BA7132">
      <w:pPr>
        <w:pStyle w:val="Heading2"/>
        <w:spacing w:after="240"/>
        <w:rPr>
          <w:color w:val="4D4D4D" w:themeColor="accent6"/>
          <w:sz w:val="24"/>
          <w:szCs w:val="24"/>
        </w:rPr>
      </w:pPr>
      <w:r w:rsidRPr="00106A8F">
        <w:rPr>
          <w:color w:val="4D4D4D" w:themeColor="accent6"/>
          <w:sz w:val="24"/>
          <w:szCs w:val="24"/>
        </w:rPr>
        <w:t>Two Radios, One Frequency</w:t>
      </w:r>
    </w:p>
    <w:p w14:paraId="28FE0BC4"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 xml:space="preserve">When you strip literacy down to its essentials, something much simpler appears. Assessment is not really about phonics, rubrics, or multiple-choice questions. It is about communication. Every assessment, across every domain, asks the same question: </w:t>
      </w:r>
      <w:r w:rsidRPr="00144754">
        <w:rPr>
          <w:rFonts w:ascii="Microsoft PhagsPa" w:hAnsi="Microsoft PhagsPa"/>
          <w:i/>
          <w:iCs/>
          <w:color w:val="4D4D4D" w:themeColor="accent6"/>
        </w:rPr>
        <w:t>Can the student communicate their understanding in a form the assessor recognizes as correct</w:t>
      </w:r>
      <w:r w:rsidRPr="00147CB5">
        <w:rPr>
          <w:rFonts w:ascii="Microsoft PhagsPa" w:hAnsi="Microsoft PhagsPa"/>
          <w:i/>
          <w:iCs/>
          <w:color w:val="4D4D4D" w:themeColor="accent6"/>
        </w:rPr>
        <w:t>?</w:t>
      </w:r>
    </w:p>
    <w:p w14:paraId="35161CFE" w14:textId="77777777" w:rsidR="00BA7132"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 xml:space="preserve">It becomes obvious outside of literacy. In math, correctness is mostly about reasoning and accuracy. In music, correctness is </w:t>
      </w:r>
      <w:r>
        <w:rPr>
          <w:rFonts w:ascii="Microsoft PhagsPa" w:hAnsi="Microsoft PhagsPa"/>
          <w:color w:val="4D4D4D" w:themeColor="accent6"/>
        </w:rPr>
        <w:t xml:space="preserve">more </w:t>
      </w:r>
      <w:r w:rsidRPr="009F2929">
        <w:rPr>
          <w:rFonts w:ascii="Microsoft PhagsPa" w:hAnsi="Microsoft PhagsPa"/>
          <w:color w:val="4D4D4D" w:themeColor="accent6"/>
        </w:rPr>
        <w:t>interpretive.</w:t>
      </w:r>
      <w:r>
        <w:rPr>
          <w:rFonts w:ascii="Microsoft PhagsPa" w:hAnsi="Microsoft PhagsPa"/>
          <w:color w:val="4D4D4D" w:themeColor="accent6"/>
        </w:rPr>
        <w:t xml:space="preserve"> There </w:t>
      </w:r>
      <w:commentRangeStart w:id="1"/>
      <w:r>
        <w:rPr>
          <w:rFonts w:ascii="Microsoft PhagsPa" w:hAnsi="Microsoft PhagsPa"/>
          <w:color w:val="4D4D4D" w:themeColor="accent6"/>
        </w:rPr>
        <w:t xml:space="preserve">are rules musicians tend to follow – such as avoiding </w:t>
      </w:r>
      <w:commentRangeEnd w:id="1"/>
      <w:r>
        <w:rPr>
          <w:rStyle w:val="CommentReference"/>
          <w:rFonts w:ascii="Microsoft PhagsPa" w:hAnsi="Microsoft PhagsPa"/>
          <w:color w:val="4D4D4D" w:themeColor="accent6"/>
          <w:sz w:val="22"/>
          <w:szCs w:val="22"/>
        </w:rPr>
        <w:commentReference w:id="1"/>
      </w:r>
      <w:r>
        <w:rPr>
          <w:rFonts w:ascii="Microsoft PhagsPa" w:hAnsi="Microsoft PhagsPa"/>
          <w:color w:val="4D4D4D" w:themeColor="accent6"/>
        </w:rPr>
        <w:t xml:space="preserve">parallel 5ths, adding leading tones in a mixolydian scale, the hertz per second a sound wave vibrates after plucking a string – but a violinists audition to her school’s orchestra will not assess the performance with sound measuring devices. The assessment will be based on interpreted feelings from more subjective cues – how the ether of sound is interpreted by the assessor. This would be similar to an assessment in math where the grade is based on the handwriting rather than the answer being mathematically correct.  </w:t>
      </w:r>
    </w:p>
    <w:p w14:paraId="2C631E5B" w14:textId="77777777" w:rsidR="00BA7132" w:rsidRPr="009F2929" w:rsidRDefault="00BA7132" w:rsidP="00BA7132">
      <w:pPr>
        <w:spacing w:after="160"/>
        <w:rPr>
          <w:rFonts w:ascii="Microsoft PhagsPa" w:hAnsi="Microsoft PhagsPa"/>
          <w:color w:val="4D4D4D" w:themeColor="accent6"/>
        </w:rPr>
      </w:pPr>
      <w:r>
        <w:rPr>
          <w:rFonts w:ascii="Microsoft PhagsPa" w:hAnsi="Microsoft PhagsPa"/>
          <w:color w:val="4D4D4D" w:themeColor="accent6"/>
        </w:rPr>
        <w:t>However, subjectivity is not universal. Perhaps a</w:t>
      </w:r>
      <w:r w:rsidRPr="009F2929">
        <w:rPr>
          <w:rFonts w:ascii="Microsoft PhagsPa" w:hAnsi="Microsoft PhagsPa"/>
          <w:color w:val="4D4D4D" w:themeColor="accent6"/>
        </w:rPr>
        <w:t xml:space="preserve"> student who plays a Beethoven piece slightly off-key</w:t>
      </w:r>
      <w:r>
        <w:rPr>
          <w:rFonts w:ascii="Microsoft PhagsPa" w:hAnsi="Microsoft PhagsPa"/>
          <w:color w:val="4D4D4D" w:themeColor="accent6"/>
        </w:rPr>
        <w:t xml:space="preserve"> in an attemp</w:t>
      </w:r>
      <w:r w:rsidRPr="009F2929">
        <w:rPr>
          <w:rFonts w:ascii="Microsoft PhagsPa" w:hAnsi="Microsoft PhagsPa"/>
          <w:color w:val="4D4D4D" w:themeColor="accent6"/>
        </w:rPr>
        <w:t xml:space="preserve"> to represent </w:t>
      </w:r>
      <w:r>
        <w:rPr>
          <w:rFonts w:ascii="Microsoft PhagsPa" w:hAnsi="Microsoft PhagsPa"/>
          <w:color w:val="4D4D4D" w:themeColor="accent6"/>
        </w:rPr>
        <w:t>Beathoven’s</w:t>
      </w:r>
      <w:r w:rsidRPr="009F2929">
        <w:rPr>
          <w:rFonts w:ascii="Microsoft PhagsPa" w:hAnsi="Microsoft PhagsPa"/>
          <w:color w:val="4D4D4D" w:themeColor="accent6"/>
        </w:rPr>
        <w:t xml:space="preserve"> deafness might be demonstrating deeper insight than someone who plays it mechanically “right.” Whether the student “passes” depends on the teacher’s values, taste, and expectations.</w:t>
      </w:r>
    </w:p>
    <w:p w14:paraId="719059FA"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That’s the part of assessment we usually gloss over: it’s relational. It depends on two people successfully understanding each other. It is shaped by culture, expectations, and communication norms. The assessor decides what counts as evidence. The student tries to make their thinking visible in a way that matches those expectations.</w:t>
      </w:r>
    </w:p>
    <w:p w14:paraId="49D8D29E"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lastRenderedPageBreak/>
        <w:t>This is why the push to create “neutral,” “objective,” or “universal” assessments can feel out of touch. There is no neutral communication style. Someone always defines what counts. And when the system privileges reading and writing as the only acceptable forms, every student who communicates differently—deaf students, emergent bilingual students, autistic students, highly visual thinkers, orally strong but text-anxious learners—gets mislabeled as less capable.</w:t>
      </w:r>
    </w:p>
    <w:p w14:paraId="1E14C88C" w14:textId="77777777" w:rsidR="00BA7132" w:rsidRPr="009F2929" w:rsidRDefault="00BA7132" w:rsidP="00BA7132">
      <w:pPr>
        <w:spacing w:after="160"/>
        <w:rPr>
          <w:rFonts w:ascii="Microsoft PhagsPa" w:hAnsi="Microsoft PhagsPa"/>
          <w:color w:val="4D4D4D" w:themeColor="accent6"/>
        </w:rPr>
      </w:pPr>
      <w:r w:rsidRPr="009F2929">
        <w:rPr>
          <w:rFonts w:ascii="Microsoft PhagsPa" w:hAnsi="Microsoft PhagsPa"/>
          <w:color w:val="4D4D4D" w:themeColor="accent6"/>
        </w:rPr>
        <w:t>The problem isn’t the student. It’s the communication mode the assessment rewards.</w:t>
      </w:r>
    </w:p>
    <w:p w14:paraId="1E5E71D6" w14:textId="77777777" w:rsidR="00BA7132" w:rsidRPr="00106A8F" w:rsidRDefault="00BA7132" w:rsidP="00BA7132">
      <w:pPr>
        <w:pStyle w:val="Heading2"/>
        <w:spacing w:after="240"/>
        <w:rPr>
          <w:color w:val="4D4D4D" w:themeColor="accent6"/>
          <w:sz w:val="24"/>
          <w:szCs w:val="24"/>
        </w:rPr>
      </w:pPr>
      <w:r w:rsidRPr="00106A8F">
        <w:rPr>
          <w:color w:val="4D4D4D" w:themeColor="accent6"/>
          <w:sz w:val="24"/>
          <w:szCs w:val="24"/>
        </w:rPr>
        <w:t>When the Compass Mistakes North for the Only Way Forward</w:t>
      </w:r>
    </w:p>
    <w:p w14:paraId="2841E374" w14:textId="77777777" w:rsidR="00BA7132" w:rsidRPr="00E14BA5" w:rsidRDefault="00BA7132" w:rsidP="00BA7132">
      <w:pPr>
        <w:spacing w:after="160"/>
        <w:rPr>
          <w:rFonts w:ascii="Microsoft PhagsPa" w:hAnsi="Microsoft PhagsPa"/>
          <w:color w:val="4D4D4D" w:themeColor="accent6"/>
        </w:rPr>
      </w:pPr>
      <w:r w:rsidRPr="00E14BA5">
        <w:rPr>
          <w:rFonts w:ascii="Microsoft PhagsPa" w:hAnsi="Microsoft PhagsPa"/>
          <w:color w:val="4D4D4D" w:themeColor="accent6"/>
        </w:rPr>
        <w:t>Assessment isn’t something schools should abandon. It’s essential. But before choosing the method, we have to be honest about the purpose. If the purpose is to help teachers understand students, assessment must be flexible and human. If the purpose is to track progress across classrooms, assessments need shared criteria but multiple forms of evidence. And if the purpose is to compare millions of children across fifty states, then we should admit that we are no longer measuring learning</w:t>
      </w:r>
      <w:r w:rsidRPr="00106A8F">
        <w:rPr>
          <w:rFonts w:ascii="Microsoft PhagsPa" w:hAnsi="Microsoft PhagsPa"/>
          <w:color w:val="4D4D4D" w:themeColor="accent6"/>
        </w:rPr>
        <w:t xml:space="preserve"> – we </w:t>
      </w:r>
      <w:r w:rsidRPr="00E14BA5">
        <w:rPr>
          <w:rFonts w:ascii="Microsoft PhagsPa" w:hAnsi="Microsoft PhagsPa"/>
          <w:color w:val="4D4D4D" w:themeColor="accent6"/>
        </w:rPr>
        <w:t xml:space="preserve">are </w:t>
      </w:r>
      <w:r w:rsidRPr="00106A8F">
        <w:rPr>
          <w:rFonts w:ascii="Microsoft PhagsPa" w:hAnsi="Microsoft PhagsPa"/>
          <w:color w:val="4D4D4D" w:themeColor="accent6"/>
        </w:rPr>
        <w:t xml:space="preserve">mostly </w:t>
      </w:r>
      <w:r w:rsidRPr="00E14BA5">
        <w:rPr>
          <w:rFonts w:ascii="Microsoft PhagsPa" w:hAnsi="Microsoft PhagsPa"/>
          <w:color w:val="4D4D4D" w:themeColor="accent6"/>
        </w:rPr>
        <w:t>measuring compliance with a communication code privileging the dominant mode.</w:t>
      </w:r>
    </w:p>
    <w:p w14:paraId="02BFA246" w14:textId="77777777" w:rsidR="00BA7132" w:rsidRPr="00E14BA5" w:rsidRDefault="00BA7132" w:rsidP="00BA7132">
      <w:pPr>
        <w:spacing w:after="160"/>
        <w:rPr>
          <w:rFonts w:ascii="Microsoft PhagsPa" w:hAnsi="Microsoft PhagsPa"/>
          <w:color w:val="4D4D4D" w:themeColor="accent6"/>
        </w:rPr>
      </w:pPr>
      <w:r w:rsidRPr="00106A8F">
        <w:rPr>
          <w:rFonts w:ascii="Microsoft PhagsPa" w:hAnsi="Microsoft PhagsPa"/>
          <w:color w:val="4D4D4D" w:themeColor="accent6"/>
        </w:rPr>
        <w:t>Literacy as a dominant assessment marker proves how this can</w:t>
      </w:r>
      <w:r w:rsidRPr="00E14BA5">
        <w:rPr>
          <w:rFonts w:ascii="Microsoft PhagsPa" w:hAnsi="Microsoft PhagsPa"/>
          <w:color w:val="4D4D4D" w:themeColor="accent6"/>
        </w:rPr>
        <w:t xml:space="preserve"> dangerous. Literacy makes it easy to pretend that we are measuring comprehension when we are mostly measuring fluency in one cultural communication style. It convinces schools and policymakers that disparities in literacy scores reflect student deficits rather than measurement defects. And it convinces the public that reading and writing are the only legitimate forms of thought, drowning out everything else students can do and understand.</w:t>
      </w:r>
    </w:p>
    <w:p w14:paraId="0CC115B3" w14:textId="77777777" w:rsidR="00BA7132" w:rsidRPr="00E14BA5" w:rsidRDefault="00BA7132" w:rsidP="00BA7132">
      <w:pPr>
        <w:spacing w:after="160"/>
        <w:rPr>
          <w:rFonts w:ascii="Microsoft PhagsPa" w:hAnsi="Microsoft PhagsPa"/>
          <w:color w:val="4D4D4D" w:themeColor="accent6"/>
        </w:rPr>
      </w:pPr>
      <w:r w:rsidRPr="00E14BA5">
        <w:rPr>
          <w:rFonts w:ascii="Microsoft PhagsPa" w:hAnsi="Microsoft PhagsPa"/>
          <w:color w:val="4D4D4D" w:themeColor="accent6"/>
        </w:rPr>
        <w:t>My goal is not to attack literacy or deny its value. Reading matters. But its role as the primary measure of intelligence, readiness, and academic potential is far more fragile than we admit. We have mistaken a compass needle for a map, and then we built our entire sense of direction around it. We treat the needle’s fixed north as if it were the only direction worth walking toward. But students live in a world where the landscape changes, the landmarks move, and the path ahead is rarely straight.</w:t>
      </w:r>
    </w:p>
    <w:p w14:paraId="666A2555" w14:textId="77777777" w:rsidR="00BA7132" w:rsidRPr="00106A8F" w:rsidRDefault="00BA7132" w:rsidP="00BA7132">
      <w:pPr>
        <w:rPr>
          <w:rFonts w:ascii="Microsoft PhagsPa" w:hAnsi="Microsoft PhagsPa"/>
          <w:color w:val="4D4D4D" w:themeColor="accent6"/>
        </w:rPr>
      </w:pPr>
      <w:commentRangeStart w:id="2"/>
      <w:r w:rsidRPr="00E14BA5">
        <w:rPr>
          <w:rFonts w:ascii="Microsoft PhagsPa" w:hAnsi="Microsoft PhagsPa"/>
          <w:color w:val="4D4D4D" w:themeColor="accent6"/>
        </w:rPr>
        <w:t xml:space="preserve">A system that orients itself around a single mode of evidence cannot prepare learners for a world defined by multiplicity. A curriculum built around one north cannot teach students how to </w:t>
      </w:r>
      <w:r w:rsidRPr="00E14BA5">
        <w:rPr>
          <w:rFonts w:ascii="Microsoft PhagsPa" w:hAnsi="Microsoft PhagsPa"/>
          <w:color w:val="4D4D4D" w:themeColor="accent6"/>
        </w:rPr>
        <w:lastRenderedPageBreak/>
        <w:t xml:space="preserve">navigate when </w:t>
      </w:r>
      <w:r w:rsidRPr="00106A8F">
        <w:rPr>
          <w:rFonts w:ascii="Microsoft PhagsPa" w:hAnsi="Microsoft PhagsPa"/>
          <w:color w:val="4D4D4D" w:themeColor="accent6"/>
        </w:rPr>
        <w:t>poles shift</w:t>
      </w:r>
      <w:r w:rsidRPr="00E14BA5">
        <w:rPr>
          <w:rFonts w:ascii="Microsoft PhagsPa" w:hAnsi="Microsoft PhagsPa"/>
          <w:color w:val="4D4D4D" w:themeColor="accent6"/>
        </w:rPr>
        <w:t>. If assessment is going to play a meaningful role in learning, it cannot define the journey</w:t>
      </w:r>
      <w:r w:rsidRPr="00106A8F">
        <w:rPr>
          <w:rFonts w:ascii="Microsoft PhagsPa" w:hAnsi="Microsoft PhagsPa"/>
          <w:color w:val="4D4D4D" w:themeColor="accent6"/>
        </w:rPr>
        <w:t xml:space="preserve"> – </w:t>
      </w:r>
      <w:r w:rsidRPr="00E14BA5">
        <w:rPr>
          <w:rFonts w:ascii="Microsoft PhagsPa" w:hAnsi="Microsoft PhagsPa"/>
          <w:color w:val="4D4D4D" w:themeColor="accent6"/>
        </w:rPr>
        <w:t>it can only help orient us along the way.</w:t>
      </w:r>
      <w:r w:rsidRPr="00106A8F">
        <w:rPr>
          <w:rFonts w:ascii="Microsoft PhagsPa" w:hAnsi="Microsoft PhagsPa"/>
          <w:color w:val="4D4D4D" w:themeColor="accent6"/>
        </w:rPr>
        <w:t xml:space="preserve"> </w:t>
      </w:r>
      <w:commentRangeEnd w:id="2"/>
      <w:r w:rsidRPr="00106A8F">
        <w:rPr>
          <w:rStyle w:val="CommentReference"/>
          <w:rFonts w:ascii="Microsoft PhagsPa" w:hAnsi="Microsoft PhagsPa"/>
          <w:color w:val="4D4D4D" w:themeColor="accent6"/>
          <w:sz w:val="22"/>
          <w:szCs w:val="22"/>
        </w:rPr>
        <w:commentReference w:id="2"/>
      </w:r>
    </w:p>
    <w:p w14:paraId="11270C48" w14:textId="77777777" w:rsidR="00BA7132" w:rsidRPr="00E14BA5" w:rsidRDefault="00BA7132" w:rsidP="00BA7132">
      <w:pPr>
        <w:rPr>
          <w:rFonts w:ascii="Microsoft PhagsPa" w:hAnsi="Microsoft PhagsPa"/>
          <w:color w:val="4D4D4D" w:themeColor="accent6"/>
        </w:rPr>
      </w:pPr>
      <w:r w:rsidRPr="00E14BA5">
        <w:rPr>
          <w:rFonts w:ascii="Microsoft PhagsPa" w:hAnsi="Microsoft PhagsPa"/>
          <w:color w:val="4D4D4D" w:themeColor="accent6"/>
        </w:rPr>
        <w:t>And that brings us to the next question:</w:t>
      </w:r>
      <w:r w:rsidRPr="00106A8F">
        <w:rPr>
          <w:rFonts w:ascii="Microsoft PhagsPa" w:hAnsi="Microsoft PhagsPa"/>
          <w:color w:val="4D4D4D" w:themeColor="accent6"/>
        </w:rPr>
        <w:t xml:space="preserve"> </w:t>
      </w:r>
      <w:r w:rsidRPr="00E14BA5">
        <w:rPr>
          <w:rFonts w:ascii="Microsoft PhagsPa" w:hAnsi="Microsoft PhagsPa"/>
          <w:color w:val="4D4D4D" w:themeColor="accent6"/>
        </w:rPr>
        <w:t xml:space="preserve">if </w:t>
      </w:r>
      <w:r w:rsidRPr="00106A8F">
        <w:rPr>
          <w:rFonts w:ascii="Microsoft PhagsPa" w:hAnsi="Microsoft PhagsPa"/>
          <w:color w:val="4D4D4D" w:themeColor="accent6"/>
        </w:rPr>
        <w:t xml:space="preserve">curriculum is not content, framework, assessment, scope, nor sequence, then what is it? </w:t>
      </w:r>
    </w:p>
    <w:p w14:paraId="3B89EC56" w14:textId="77777777" w:rsidR="0006430F" w:rsidRDefault="0006430F"/>
    <w:sectPr w:rsidR="0006430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5-11-24T16:50:00Z" w:initials="WC">
    <w:p w14:paraId="220EEB9E" w14:textId="77777777" w:rsidR="00BA7132" w:rsidRDefault="00BA7132" w:rsidP="004A23E4">
      <w:pPr>
        <w:pStyle w:val="CommentText"/>
        <w:jc w:val="left"/>
      </w:pPr>
      <w:r>
        <w:rPr>
          <w:rStyle w:val="CommentReference"/>
        </w:rPr>
        <w:annotationRef/>
      </w:r>
      <w:r>
        <w:t>Add a footnote explanation</w:t>
      </w:r>
    </w:p>
  </w:comment>
  <w:comment w:id="1" w:author="Wil Cosgrove" w:date="2025-11-24T17:05:00Z" w:initials="WC">
    <w:p w14:paraId="3171CE7D" w14:textId="77777777" w:rsidR="00BA7132" w:rsidRDefault="00BA7132" w:rsidP="00CD5AE4">
      <w:pPr>
        <w:pStyle w:val="CommentText"/>
        <w:jc w:val="left"/>
      </w:pPr>
      <w:r>
        <w:rPr>
          <w:rStyle w:val="CommentReference"/>
        </w:rPr>
        <w:annotationRef/>
      </w:r>
      <w:r>
        <w:t>Not done</w:t>
      </w:r>
    </w:p>
  </w:comment>
  <w:comment w:id="2" w:author="Wil Cosgrove" w:date="2025-11-16T21:14:00Z" w:initials="WC">
    <w:p w14:paraId="760B4CD3" w14:textId="77777777" w:rsidR="00BA7132" w:rsidRDefault="00BA7132" w:rsidP="008023C4">
      <w:pPr>
        <w:pStyle w:val="CommentText"/>
        <w:jc w:val="left"/>
      </w:pPr>
      <w:r>
        <w:rPr>
          <w:rStyle w:val="CommentReference"/>
        </w:rPr>
        <w:annotationRef/>
      </w:r>
      <w:r>
        <w:t xml:space="preserve">We keep acting as if assessments are simple thermometers—neutral tools that tell us what the academic weather looks like. But the system treats them like thermostats, not thermometers. They don’t just measure the climate of learning; they </w:t>
      </w:r>
      <w:r>
        <w:rPr>
          <w:i/>
          <w:iCs/>
        </w:rPr>
        <w:t>set</w:t>
      </w:r>
      <w:r>
        <w:t xml:space="preserve"> it. The tests come first, and curriculum bends to meet them. If assessment can only ever be a thermometer, then the real reform isn’t to redesign the thermometer. It’s to redesign the climate the thermometer is placed in—the curriculum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0EEB9E" w15:done="0"/>
  <w15:commentEx w15:paraId="3171CE7D" w15:done="0"/>
  <w15:commentEx w15:paraId="760B4C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CDF357" w16cex:dateUtc="2025-11-24T21:50:00Z"/>
  <w16cex:commentExtensible w16cex:durableId="4BD8A05B" w16cex:dateUtc="2025-11-24T22:05:00Z"/>
  <w16cex:commentExtensible w16cex:durableId="2407F6DF" w16cex:dateUtc="2025-11-17T0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0EEB9E" w16cid:durableId="18CDF357"/>
  <w16cid:commentId w16cid:paraId="3171CE7D" w16cid:durableId="4BD8A05B"/>
  <w16cid:commentId w16cid:paraId="760B4CD3" w16cid:durableId="2407F6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ExtraBold">
    <w:charset w:val="00"/>
    <w:family w:val="swiss"/>
    <w:pitch w:val="variable"/>
    <w:sig w:usb0="20000287" w:usb1="00000003" w:usb2="00000000" w:usb3="00000000" w:csb0="0000019F" w:csb1="00000000"/>
  </w:font>
  <w:font w:name="Microsoft PhagsPa">
    <w:panose1 w:val="020B0502040204020203"/>
    <w:charset w:val="00"/>
    <w:family w:val="swiss"/>
    <w:pitch w:val="variable"/>
    <w:sig w:usb0="00000003" w:usb1="00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6CE"/>
    <w:multiLevelType w:val="multilevel"/>
    <w:tmpl w:val="3142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798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32"/>
    <w:rsid w:val="0006430F"/>
    <w:rsid w:val="003C0CDA"/>
    <w:rsid w:val="00485C43"/>
    <w:rsid w:val="004D1450"/>
    <w:rsid w:val="006750BF"/>
    <w:rsid w:val="009E5E43"/>
    <w:rsid w:val="00BA7132"/>
    <w:rsid w:val="00BE26FB"/>
    <w:rsid w:val="00E77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773E"/>
  <w15:chartTrackingRefBased/>
  <w15:docId w15:val="{C2F0D2B6-1944-42BD-A57E-B797491C5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32"/>
    <w:rPr>
      <w:rFonts w:eastAsiaTheme="minorEastAsia"/>
    </w:rPr>
  </w:style>
  <w:style w:type="paragraph" w:styleId="Heading1">
    <w:name w:val="heading 1"/>
    <w:basedOn w:val="Normal"/>
    <w:next w:val="Normal"/>
    <w:link w:val="Heading1Char"/>
    <w:uiPriority w:val="9"/>
    <w:qFormat/>
    <w:rsid w:val="006750BF"/>
    <w:pPr>
      <w:keepNext/>
      <w:keepLines/>
      <w:spacing w:before="320" w:after="4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750BF"/>
    <w:pPr>
      <w:keepNext/>
      <w:keepLines/>
      <w:spacing w:before="120" w:after="0"/>
      <w:outlineLvl w:val="1"/>
    </w:pPr>
    <w:rPr>
      <w:rFonts w:eastAsiaTheme="majorEastAsia" w:cstheme="majorBidi"/>
      <w:b/>
      <w:bCs/>
      <w:sz w:val="28"/>
      <w:szCs w:val="28"/>
    </w:rPr>
  </w:style>
  <w:style w:type="paragraph" w:styleId="Heading3">
    <w:name w:val="heading 3"/>
    <w:basedOn w:val="Normal"/>
    <w:next w:val="Normal"/>
    <w:link w:val="Heading3Char"/>
    <w:uiPriority w:val="9"/>
    <w:semiHidden/>
    <w:unhideWhenUsed/>
    <w:qFormat/>
    <w:rsid w:val="006750BF"/>
    <w:pPr>
      <w:keepNext/>
      <w:keepLines/>
      <w:spacing w:before="120" w:after="0"/>
      <w:outlineLvl w:val="2"/>
    </w:pPr>
    <w:rPr>
      <w:rFonts w:eastAsiaTheme="majorEastAsia" w:cstheme="majorBidi"/>
      <w:spacing w:val="4"/>
      <w:sz w:val="24"/>
      <w:szCs w:val="24"/>
    </w:rPr>
  </w:style>
  <w:style w:type="paragraph" w:styleId="Heading4">
    <w:name w:val="heading 4"/>
    <w:basedOn w:val="Normal"/>
    <w:next w:val="Normal"/>
    <w:link w:val="Heading4Char"/>
    <w:uiPriority w:val="9"/>
    <w:semiHidden/>
    <w:unhideWhenUsed/>
    <w:qFormat/>
    <w:rsid w:val="006750BF"/>
    <w:pPr>
      <w:keepNext/>
      <w:keepLines/>
      <w:spacing w:before="120" w:after="0"/>
      <w:outlineLvl w:val="3"/>
    </w:pPr>
    <w:rPr>
      <w:rFonts w:eastAsiaTheme="majorEastAsia" w:cstheme="majorBidi"/>
      <w:i/>
      <w:iCs/>
      <w:sz w:val="24"/>
      <w:szCs w:val="24"/>
    </w:rPr>
  </w:style>
  <w:style w:type="paragraph" w:styleId="Heading5">
    <w:name w:val="heading 5"/>
    <w:basedOn w:val="Normal"/>
    <w:next w:val="Normal"/>
    <w:link w:val="Heading5Char"/>
    <w:uiPriority w:val="9"/>
    <w:semiHidden/>
    <w:unhideWhenUsed/>
    <w:qFormat/>
    <w:rsid w:val="006750BF"/>
    <w:pPr>
      <w:keepNext/>
      <w:keepLines/>
      <w:spacing w:before="120" w:after="0"/>
      <w:outlineLvl w:val="4"/>
    </w:pPr>
    <w:rPr>
      <w:rFonts w:eastAsiaTheme="majorEastAsia" w:cstheme="majorBidi"/>
      <w:b/>
      <w:bCs/>
    </w:rPr>
  </w:style>
  <w:style w:type="paragraph" w:styleId="Heading6">
    <w:name w:val="heading 6"/>
    <w:basedOn w:val="Normal"/>
    <w:next w:val="Normal"/>
    <w:link w:val="Heading6Char"/>
    <w:uiPriority w:val="9"/>
    <w:semiHidden/>
    <w:unhideWhenUsed/>
    <w:qFormat/>
    <w:rsid w:val="006750BF"/>
    <w:pPr>
      <w:keepNext/>
      <w:keepLines/>
      <w:spacing w:before="120" w:after="0"/>
      <w:outlineLvl w:val="5"/>
    </w:pPr>
    <w:rPr>
      <w:rFonts w:eastAsiaTheme="majorEastAsia" w:cstheme="majorBidi"/>
      <w:b/>
      <w:bCs/>
      <w:i/>
      <w:iCs/>
    </w:rPr>
  </w:style>
  <w:style w:type="paragraph" w:styleId="Heading7">
    <w:name w:val="heading 7"/>
    <w:basedOn w:val="Normal"/>
    <w:next w:val="Normal"/>
    <w:link w:val="Heading7Char"/>
    <w:uiPriority w:val="9"/>
    <w:semiHidden/>
    <w:unhideWhenUsed/>
    <w:qFormat/>
    <w:rsid w:val="006750B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750B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750BF"/>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BF"/>
    <w:rPr>
      <w:rFonts w:eastAsiaTheme="majorEastAsia" w:cstheme="majorBidi"/>
      <w:b/>
      <w:bCs/>
      <w:caps/>
      <w:spacing w:val="4"/>
      <w:sz w:val="28"/>
      <w:szCs w:val="28"/>
    </w:rPr>
  </w:style>
  <w:style w:type="character" w:customStyle="1" w:styleId="Heading2Char">
    <w:name w:val="Heading 2 Char"/>
    <w:basedOn w:val="DefaultParagraphFont"/>
    <w:link w:val="Heading2"/>
    <w:uiPriority w:val="9"/>
    <w:rsid w:val="006750BF"/>
    <w:rPr>
      <w:rFonts w:eastAsiaTheme="majorEastAsia" w:cstheme="majorBidi"/>
      <w:b/>
      <w:bCs/>
      <w:sz w:val="28"/>
      <w:szCs w:val="28"/>
    </w:rPr>
  </w:style>
  <w:style w:type="character" w:customStyle="1" w:styleId="Heading3Char">
    <w:name w:val="Heading 3 Char"/>
    <w:basedOn w:val="DefaultParagraphFont"/>
    <w:link w:val="Heading3"/>
    <w:uiPriority w:val="9"/>
    <w:semiHidden/>
    <w:rsid w:val="006750BF"/>
    <w:rPr>
      <w:rFonts w:eastAsiaTheme="majorEastAsia" w:cstheme="majorBidi"/>
      <w:spacing w:val="4"/>
      <w:sz w:val="24"/>
      <w:szCs w:val="24"/>
    </w:rPr>
  </w:style>
  <w:style w:type="character" w:customStyle="1" w:styleId="Heading4Char">
    <w:name w:val="Heading 4 Char"/>
    <w:basedOn w:val="DefaultParagraphFont"/>
    <w:link w:val="Heading4"/>
    <w:uiPriority w:val="9"/>
    <w:semiHidden/>
    <w:rsid w:val="006750BF"/>
    <w:rPr>
      <w:rFonts w:eastAsiaTheme="majorEastAsia" w:cstheme="majorBidi"/>
      <w:i/>
      <w:iCs/>
      <w:sz w:val="24"/>
      <w:szCs w:val="24"/>
    </w:rPr>
  </w:style>
  <w:style w:type="character" w:customStyle="1" w:styleId="Heading5Char">
    <w:name w:val="Heading 5 Char"/>
    <w:basedOn w:val="DefaultParagraphFont"/>
    <w:link w:val="Heading5"/>
    <w:uiPriority w:val="9"/>
    <w:semiHidden/>
    <w:rsid w:val="006750BF"/>
    <w:rPr>
      <w:rFonts w:eastAsiaTheme="majorEastAsia" w:cstheme="majorBidi"/>
      <w:b/>
      <w:bCs/>
    </w:rPr>
  </w:style>
  <w:style w:type="character" w:customStyle="1" w:styleId="Heading6Char">
    <w:name w:val="Heading 6 Char"/>
    <w:basedOn w:val="DefaultParagraphFont"/>
    <w:link w:val="Heading6"/>
    <w:uiPriority w:val="9"/>
    <w:semiHidden/>
    <w:rsid w:val="006750BF"/>
    <w:rPr>
      <w:rFonts w:eastAsiaTheme="majorEastAsia" w:cstheme="majorBidi"/>
      <w:b/>
      <w:bCs/>
      <w:i/>
      <w:iCs/>
    </w:rPr>
  </w:style>
  <w:style w:type="character" w:customStyle="1" w:styleId="Heading7Char">
    <w:name w:val="Heading 7 Char"/>
    <w:basedOn w:val="DefaultParagraphFont"/>
    <w:link w:val="Heading7"/>
    <w:uiPriority w:val="9"/>
    <w:semiHidden/>
    <w:rsid w:val="006750BF"/>
    <w:rPr>
      <w:i/>
      <w:iCs/>
    </w:rPr>
  </w:style>
  <w:style w:type="character" w:customStyle="1" w:styleId="Heading8Char">
    <w:name w:val="Heading 8 Char"/>
    <w:basedOn w:val="DefaultParagraphFont"/>
    <w:link w:val="Heading8"/>
    <w:uiPriority w:val="9"/>
    <w:semiHidden/>
    <w:rsid w:val="006750BF"/>
    <w:rPr>
      <w:b/>
      <w:bCs/>
    </w:rPr>
  </w:style>
  <w:style w:type="character" w:customStyle="1" w:styleId="Heading9Char">
    <w:name w:val="Heading 9 Char"/>
    <w:basedOn w:val="DefaultParagraphFont"/>
    <w:link w:val="Heading9"/>
    <w:uiPriority w:val="9"/>
    <w:semiHidden/>
    <w:rsid w:val="006750BF"/>
    <w:rPr>
      <w:i/>
      <w:iCs/>
    </w:rPr>
  </w:style>
  <w:style w:type="paragraph" w:styleId="Caption">
    <w:name w:val="caption"/>
    <w:basedOn w:val="Normal"/>
    <w:next w:val="Normal"/>
    <w:uiPriority w:val="35"/>
    <w:semiHidden/>
    <w:unhideWhenUsed/>
    <w:qFormat/>
    <w:rsid w:val="006750BF"/>
    <w:rPr>
      <w:b/>
      <w:bCs/>
      <w:sz w:val="18"/>
      <w:szCs w:val="18"/>
    </w:rPr>
  </w:style>
  <w:style w:type="paragraph" w:styleId="Title">
    <w:name w:val="Title"/>
    <w:basedOn w:val="Normal"/>
    <w:next w:val="Normal"/>
    <w:link w:val="TitleChar"/>
    <w:uiPriority w:val="10"/>
    <w:qFormat/>
    <w:rsid w:val="006750BF"/>
    <w:pPr>
      <w:spacing w:after="0" w:line="240" w:lineRule="auto"/>
      <w:contextualSpacing/>
      <w:jc w:val="center"/>
    </w:pPr>
    <w:rPr>
      <w:rFonts w:eastAsiaTheme="majorEastAsia" w:cstheme="majorBidi"/>
      <w:b/>
      <w:bCs/>
      <w:spacing w:val="-7"/>
      <w:sz w:val="48"/>
      <w:szCs w:val="48"/>
    </w:rPr>
  </w:style>
  <w:style w:type="character" w:customStyle="1" w:styleId="TitleChar">
    <w:name w:val="Title Char"/>
    <w:basedOn w:val="DefaultParagraphFont"/>
    <w:link w:val="Title"/>
    <w:uiPriority w:val="10"/>
    <w:rsid w:val="006750BF"/>
    <w:rPr>
      <w:rFonts w:eastAsiaTheme="majorEastAsia" w:cstheme="majorBidi"/>
      <w:b/>
      <w:bCs/>
      <w:spacing w:val="-7"/>
      <w:sz w:val="48"/>
      <w:szCs w:val="48"/>
    </w:rPr>
  </w:style>
  <w:style w:type="paragraph" w:styleId="Subtitle">
    <w:name w:val="Subtitle"/>
    <w:basedOn w:val="Normal"/>
    <w:next w:val="Normal"/>
    <w:link w:val="SubtitleChar"/>
    <w:uiPriority w:val="11"/>
    <w:qFormat/>
    <w:rsid w:val="006750BF"/>
    <w:pPr>
      <w:numPr>
        <w:ilvl w:val="1"/>
      </w:numPr>
      <w:spacing w:after="240"/>
      <w:jc w:val="center"/>
    </w:pPr>
    <w:rPr>
      <w:rFonts w:eastAsiaTheme="majorEastAsia" w:cstheme="majorBidi"/>
      <w:sz w:val="24"/>
      <w:szCs w:val="24"/>
    </w:rPr>
  </w:style>
  <w:style w:type="character" w:customStyle="1" w:styleId="SubtitleChar">
    <w:name w:val="Subtitle Char"/>
    <w:basedOn w:val="DefaultParagraphFont"/>
    <w:link w:val="Subtitle"/>
    <w:uiPriority w:val="11"/>
    <w:rsid w:val="006750BF"/>
    <w:rPr>
      <w:rFonts w:eastAsiaTheme="majorEastAsia" w:cstheme="majorBidi"/>
      <w:sz w:val="24"/>
      <w:szCs w:val="24"/>
    </w:rPr>
  </w:style>
  <w:style w:type="character" w:styleId="Strong">
    <w:name w:val="Strong"/>
    <w:basedOn w:val="DefaultParagraphFont"/>
    <w:uiPriority w:val="22"/>
    <w:qFormat/>
    <w:rsid w:val="006750BF"/>
    <w:rPr>
      <w:b/>
      <w:bCs/>
      <w:color w:val="auto"/>
    </w:rPr>
  </w:style>
  <w:style w:type="character" w:styleId="Emphasis">
    <w:name w:val="Emphasis"/>
    <w:basedOn w:val="DefaultParagraphFont"/>
    <w:uiPriority w:val="20"/>
    <w:qFormat/>
    <w:rsid w:val="006750BF"/>
    <w:rPr>
      <w:i/>
      <w:iCs/>
      <w:color w:val="auto"/>
    </w:rPr>
  </w:style>
  <w:style w:type="paragraph" w:styleId="NoSpacing">
    <w:name w:val="No Spacing"/>
    <w:uiPriority w:val="1"/>
    <w:qFormat/>
    <w:rsid w:val="006750BF"/>
    <w:pPr>
      <w:spacing w:after="0" w:line="240" w:lineRule="auto"/>
    </w:pPr>
  </w:style>
  <w:style w:type="paragraph" w:styleId="ListParagraph">
    <w:name w:val="List Paragraph"/>
    <w:basedOn w:val="Normal"/>
    <w:uiPriority w:val="34"/>
    <w:qFormat/>
    <w:rsid w:val="006750BF"/>
    <w:pPr>
      <w:ind w:left="720"/>
      <w:contextualSpacing/>
    </w:pPr>
  </w:style>
  <w:style w:type="paragraph" w:styleId="Quote">
    <w:name w:val="Quote"/>
    <w:basedOn w:val="Normal"/>
    <w:next w:val="Normal"/>
    <w:link w:val="QuoteChar"/>
    <w:uiPriority w:val="29"/>
    <w:qFormat/>
    <w:rsid w:val="006750BF"/>
    <w:pPr>
      <w:spacing w:before="200" w:line="264" w:lineRule="auto"/>
      <w:ind w:left="864" w:right="864"/>
      <w:jc w:val="center"/>
    </w:pPr>
    <w:rPr>
      <w:rFonts w:eastAsiaTheme="majorEastAsia" w:cstheme="majorBidi"/>
      <w:i/>
      <w:iCs/>
      <w:sz w:val="24"/>
      <w:szCs w:val="24"/>
    </w:rPr>
  </w:style>
  <w:style w:type="character" w:customStyle="1" w:styleId="QuoteChar">
    <w:name w:val="Quote Char"/>
    <w:basedOn w:val="DefaultParagraphFont"/>
    <w:link w:val="Quote"/>
    <w:uiPriority w:val="29"/>
    <w:rsid w:val="006750BF"/>
    <w:rPr>
      <w:rFonts w:eastAsiaTheme="majorEastAsia" w:cstheme="majorBidi"/>
      <w:i/>
      <w:iCs/>
      <w:sz w:val="24"/>
      <w:szCs w:val="24"/>
    </w:rPr>
  </w:style>
  <w:style w:type="paragraph" w:styleId="IntenseQuote">
    <w:name w:val="Intense Quote"/>
    <w:basedOn w:val="Normal"/>
    <w:next w:val="Normal"/>
    <w:link w:val="IntenseQuoteChar"/>
    <w:uiPriority w:val="30"/>
    <w:qFormat/>
    <w:rsid w:val="006750BF"/>
    <w:pPr>
      <w:spacing w:before="100" w:beforeAutospacing="1" w:after="240"/>
      <w:ind w:left="936" w:right="936"/>
      <w:jc w:val="center"/>
    </w:pPr>
    <w:rPr>
      <w:rFonts w:eastAsiaTheme="majorEastAsia" w:cstheme="majorBidi"/>
      <w:sz w:val="26"/>
      <w:szCs w:val="26"/>
    </w:rPr>
  </w:style>
  <w:style w:type="character" w:customStyle="1" w:styleId="IntenseQuoteChar">
    <w:name w:val="Intense Quote Char"/>
    <w:basedOn w:val="DefaultParagraphFont"/>
    <w:link w:val="IntenseQuote"/>
    <w:uiPriority w:val="30"/>
    <w:rsid w:val="006750BF"/>
    <w:rPr>
      <w:rFonts w:eastAsiaTheme="majorEastAsia" w:cstheme="majorBidi"/>
      <w:sz w:val="26"/>
      <w:szCs w:val="26"/>
    </w:rPr>
  </w:style>
  <w:style w:type="character" w:styleId="SubtleEmphasis">
    <w:name w:val="Subtle Emphasis"/>
    <w:basedOn w:val="DefaultParagraphFont"/>
    <w:uiPriority w:val="19"/>
    <w:qFormat/>
    <w:rsid w:val="006750BF"/>
    <w:rPr>
      <w:i/>
      <w:iCs/>
      <w:color w:val="auto"/>
    </w:rPr>
  </w:style>
  <w:style w:type="character" w:styleId="IntenseEmphasis">
    <w:name w:val="Intense Emphasis"/>
    <w:basedOn w:val="DefaultParagraphFont"/>
    <w:uiPriority w:val="21"/>
    <w:qFormat/>
    <w:rsid w:val="006750BF"/>
    <w:rPr>
      <w:b/>
      <w:bCs/>
      <w:i/>
      <w:iCs/>
      <w:color w:val="auto"/>
    </w:rPr>
  </w:style>
  <w:style w:type="character" w:styleId="SubtleReference">
    <w:name w:val="Subtle Reference"/>
    <w:basedOn w:val="DefaultParagraphFont"/>
    <w:uiPriority w:val="31"/>
    <w:qFormat/>
    <w:rsid w:val="006750BF"/>
    <w:rPr>
      <w:smallCaps/>
      <w:color w:val="auto"/>
      <w:u w:val="single" w:color="7F7F7F" w:themeColor="text1" w:themeTint="80"/>
    </w:rPr>
  </w:style>
  <w:style w:type="character" w:styleId="IntenseReference">
    <w:name w:val="Intense Reference"/>
    <w:basedOn w:val="DefaultParagraphFont"/>
    <w:uiPriority w:val="32"/>
    <w:qFormat/>
    <w:rsid w:val="006750BF"/>
    <w:rPr>
      <w:b/>
      <w:bCs/>
      <w:smallCaps/>
      <w:color w:val="auto"/>
      <w:u w:val="single"/>
    </w:rPr>
  </w:style>
  <w:style w:type="character" w:styleId="BookTitle">
    <w:name w:val="Book Title"/>
    <w:basedOn w:val="DefaultParagraphFont"/>
    <w:uiPriority w:val="33"/>
    <w:qFormat/>
    <w:rsid w:val="006750BF"/>
    <w:rPr>
      <w:b/>
      <w:bCs/>
      <w:smallCaps/>
      <w:color w:val="auto"/>
    </w:rPr>
  </w:style>
  <w:style w:type="paragraph" w:styleId="TOCHeading">
    <w:name w:val="TOC Heading"/>
    <w:basedOn w:val="Heading1"/>
    <w:next w:val="Normal"/>
    <w:uiPriority w:val="39"/>
    <w:semiHidden/>
    <w:unhideWhenUsed/>
    <w:qFormat/>
    <w:rsid w:val="006750BF"/>
    <w:pPr>
      <w:outlineLvl w:val="9"/>
    </w:pPr>
  </w:style>
  <w:style w:type="character" w:styleId="CommentReference">
    <w:name w:val="annotation reference"/>
    <w:basedOn w:val="DefaultParagraphFont"/>
    <w:uiPriority w:val="99"/>
    <w:semiHidden/>
    <w:unhideWhenUsed/>
    <w:rsid w:val="00BA7132"/>
    <w:rPr>
      <w:sz w:val="16"/>
      <w:szCs w:val="16"/>
    </w:rPr>
  </w:style>
  <w:style w:type="paragraph" w:styleId="CommentText">
    <w:name w:val="annotation text"/>
    <w:basedOn w:val="Normal"/>
    <w:link w:val="CommentTextChar"/>
    <w:uiPriority w:val="99"/>
    <w:unhideWhenUsed/>
    <w:rsid w:val="00BA7132"/>
    <w:rPr>
      <w:sz w:val="20"/>
      <w:szCs w:val="20"/>
    </w:rPr>
  </w:style>
  <w:style w:type="character" w:customStyle="1" w:styleId="CommentTextChar">
    <w:name w:val="Comment Text Char"/>
    <w:basedOn w:val="DefaultParagraphFont"/>
    <w:link w:val="CommentText"/>
    <w:uiPriority w:val="99"/>
    <w:rsid w:val="00BA7132"/>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
      <a:majorFont>
        <a:latin typeface="Aptos ExtraBold"/>
        <a:ea typeface=""/>
        <a:cs typeface=""/>
      </a:majorFont>
      <a:minorFont>
        <a:latin typeface="Microsoft PhagsP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1606</Words>
  <Characters>8066</Characters>
  <Application>Microsoft Office Word</Application>
  <DocSecurity>0</DocSecurity>
  <Lines>672</Lines>
  <Paragraphs>509</Paragraphs>
  <ScaleCrop>false</ScaleCrop>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Cosgrove</dc:creator>
  <cp:keywords/>
  <dc:description/>
  <cp:lastModifiedBy>Wil Cosgrove</cp:lastModifiedBy>
  <cp:revision>2</cp:revision>
  <dcterms:created xsi:type="dcterms:W3CDTF">2026-02-04T15:44:00Z</dcterms:created>
  <dcterms:modified xsi:type="dcterms:W3CDTF">2026-02-04T15:44:00Z</dcterms:modified>
</cp:coreProperties>
</file>