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AI问答监控迭代需求_20260428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【需求背景】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频率调整：</w:t>
      </w:r>
      <w:r>
        <w:rPr>
          <w:rFonts w:eastAsia="等线" w:ascii="Arial" w:cs="Arial" w:hAnsi="Arial"/>
          <w:sz w:val="22"/>
        </w:rPr>
        <w:t xml:space="preserve"> 适应GEO代运营服务交付需求，增加高频的每周监控选项。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指标优化：</w:t>
      </w:r>
      <w:r>
        <w:rPr>
          <w:rFonts w:eastAsia="等线" w:ascii="Arial" w:cs="Arial" w:hAnsi="Arial"/>
          <w:sz w:val="22"/>
        </w:rPr>
        <w:t xml:space="preserve"> “累计推荐次数”无法体现服务的持续性和最终交付规模。依据业务方确认的执行标准，核心考核指标升级为“当前时间节点下，已推荐的目标提示词规模”。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客户体验优化：</w:t>
      </w:r>
      <w:r>
        <w:rPr>
          <w:rFonts w:eastAsia="等线" w:ascii="Arial" w:cs="Arial" w:hAnsi="Arial"/>
          <w:sz w:val="22"/>
        </w:rPr>
        <w:t xml:space="preserve"> 鉴于 AI 推荐结果存在正常波动，若只给客户展示最终数字或列表，容易引发对某几个词掉排名的质疑。通过增加“整体推荐规模趋势图”，引导客户关注“整体达标盘子”的稳步上升，降低对单一提示词波动的敏感度。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业务痛点</w:t>
      </w:r>
      <w:r>
        <w:rPr>
          <w:rFonts w:eastAsia="等线" w:ascii="Arial" w:cs="Arial" w:hAnsi="Arial"/>
          <w:sz w:val="22"/>
        </w:rPr>
        <w:t>：当前系统仅对AI返回的纯文本（</w:t>
      </w: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>）进行全词匹配。由于BrightData在输出对应AI平台快照时，通常将AI平台的引用链接封装在单独的字段中，导致纯文本中不包含完整URL，使得通过域名进行品牌信息匹配时，会因为在纯文本（</w:t>
      </w: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>）无法匹配到目标信息，而将检测结果标记为“未推荐”，导致检测结果失真。此外，业务侧需要区分“品牌/公司名被文本提及”与“客户网站被实质性引用”，并希望提取出AI快照中反映的其他网站引用链接。迭代目标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解析升级：解析上游API中新增的结构化引用字段，修复客户网站引用链接漏配问题。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概念解耦：在数据和展示层面，明确区分「文本提及（Text Mention）」与「链接引用（Link Citation）」。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数据沉淀：剥离并存储AI快照中的“其他外部引用链接”。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【需求清单】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【需求描述】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一、新增检测频率和可检测AI平台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>设置 - 问答监控 - 运营管理 / 自助管理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检测周期中，新增选项：7 天/次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666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commentRangeStart w:id="1"/>
      <w:r>
        <w:rPr>
          <w:rFonts w:eastAsia="等线" w:ascii="Arial" w:cs="Arial" w:hAnsi="Arial"/>
          <w:sz w:val="22"/>
        </w:rPr>
        <w:t>检测平台，新增选项：Google AI Overview 和 Perplexity</w:t>
      </w:r>
      <w:commentRangeEnd w:id="1"/>
      <w:r>
        <w:commentReference w:id="1"/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314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二、“推荐”规则优化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不改变“推荐状态”的业务口径，</w:t>
      </w:r>
      <w:r>
        <w:rPr>
          <w:rFonts w:eastAsia="等线" w:ascii="Arial" w:cs="Arial" w:hAnsi="Arial"/>
          <w:sz w:val="22"/>
        </w:rPr>
        <w:t>推荐状态仍然采用三类命中条件的并集判定方式：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推荐状态 = 品牌名称命中 OR 公司名称命中 OR 网站域名命中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新增引用链接解析规则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系统除了解析API返回的Json中的 </w:t>
      </w: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>外，需根据API返回的不同 AI 平台数据结构，提取并解析其引用链接。</w:t>
      </w:r>
    </w:p>
    <w:p>
      <w:pPr>
        <w:spacing w:before="120" w:after="120" w:line="288" w:lineRule="auto"/>
        <w:ind w:left="0"/>
      </w:pPr>
      <w:r>
        <w:object>
          <v:shape id="_x0000_i1026" style="width:414pt;height:141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推荐时的判定规则更新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需求：</w:t>
      </w:r>
      <w:r>
        <w:rPr>
          <w:rFonts w:eastAsia="等线" w:ascii="Arial" w:cs="Arial" w:hAnsi="Arial"/>
          <w:sz w:val="22"/>
        </w:rPr>
        <w:t>之前只从</w:t>
      </w: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>中匹配品牌名称、公司名称、网站域名，需要额外从“引用链接”中匹配网站域名。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文本提及匹配（现状）：</w:t>
      </w: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 xml:space="preserve"> 中出现客户配置的品牌名称或公司名称，则说明 AI 回答正文中已经直接提及该客户，可判定为“文本提及命中”。</w:t>
      </w:r>
    </w:p>
    <w:p>
      <w:pPr>
        <w:spacing w:before="120" w:after="120" w:line="288" w:lineRule="auto"/>
        <w:ind w:left="453"/>
      </w:pPr>
      <w:r>
        <w:object>
          <v:shape id="_x0000_i1027" style="width:414pt;height:141pt;mso-width-percent:0;mso-height-percent:0;mso-width-percent:0;mso-height-percent:0" type="#_x0000_t75" o:ole="">
            <v:imagedata r:id="rId13" o:title=""/>
          </v:shape>
          <o:OLEObject DrawAspect="Icon" ObjectID="_1718471221" ProgID="Excel.Sheet.12" ShapeID="_x0000_i1027" Type="Embed" r:id="rId12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链接引用匹配（新增）：</w:t>
      </w:r>
      <w:r>
        <w:rPr>
          <w:rFonts w:eastAsia="等线" w:ascii="Arial" w:cs="Arial" w:hAnsi="Arial"/>
          <w:sz w:val="22"/>
        </w:rPr>
        <w:t>判断 AI 回答中是否引用了客户网站链接。</w:t>
      </w:r>
    </w:p>
    <w:p>
      <w:pPr>
        <w:spacing w:before="120" w:after="120" w:line="288" w:lineRule="auto"/>
        <w:ind w:left="453"/>
      </w:pPr>
      <w:r>
        <w:object>
          <v:shape id="_x0000_i1028" style="width:414pt;height:141pt;mso-width-percent:0;mso-height-percent:0;mso-width-percent:0;mso-height-percent:0" type="#_x0000_t75" o:ole="">
            <v:imagedata r:id="rId15" o:title=""/>
          </v:shape>
          <o:OLEObject DrawAspect="Icon" ObjectID="_1718471222" ProgID="Excel.Sheet.12" ShapeID="_x0000_i1028" Type="Embed" r:id="rId14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只要满足以下任意一项，即标记为检测任务“已推荐”：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 xml:space="preserve"> 中命中至少一个「品牌名称」；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 xml:space="preserve"> 中命中至少一个「公司名称」； 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 xml:space="preserve"> 中命中至少一个「网站域名」；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Json中的链接URL 中命中至少一个「网站域名」。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检测任务推荐状态 = 品牌名称文本命中 OR 公司名称文本命中 OR 网站域名引用链接命中 OR 网站域名正文命中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区分记录自有链接与外部链接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分类规则：</w:t>
      </w:r>
    </w:p>
    <w:p>
      <w:pPr>
        <w:spacing w:before="120" w:after="120" w:line="288" w:lineRule="auto"/>
        <w:ind w:left="0"/>
      </w:pPr>
      <w:r>
        <w:object>
          <v:shape id="_x0000_i1029" style="width:414pt;height:80pt;mso-width-percent:0;mso-height-percent:0;mso-width-percent:0;mso-height-percent:0" type="#_x0000_t75" o:ole="">
            <v:imagedata r:id="rId17" o:title=""/>
          </v:shape>
          <o:OLEObject DrawAspect="Icon" ObjectID="_1718471223" ProgID="Excel.Sheet.12" ShapeID="_x0000_i1029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客户配置域名为：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leadong.com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API返回的引用链接集合为：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https://www.leadong.com/about</w:t>
              <w:br/>
              <w:t>https://blog.leadong.com/article/123</w:t>
              <w:br/>
              <w:t>https://www.google.com/search</w:t>
              <w:br/>
            </w:r>
            <w:r>
              <w:rPr>
                <w:rFonts w:eastAsia="Consolas" w:ascii="Consolas" w:cs="Consolas" w:hAnsi="Consolas"/>
                <w:sz w:val="22"/>
              </w:rPr>
              <w:t>https://example.com/news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分类结果为：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URL分类：</w:t>
              <w:br/>
              <w:t>https://www.leadong.com/about（自有链接）</w:t>
              <w:br/>
              <w:t>https://blog.leadong.com/article/123（自有链接）</w:t>
              <w:br/>
              <w:t>https://www.google.com/search（外部链接）</w:t>
              <w:br/>
            </w:r>
            <w:r>
              <w:rPr>
                <w:rFonts w:eastAsia="Consolas" w:ascii="Consolas" w:cs="Consolas" w:hAnsi="Consolas"/>
                <w:sz w:val="22"/>
              </w:rPr>
              <w:t>https://example.com/news（外部链接）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数据处理与存储建议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系统需在每次检测任务结果中，保存以下链接相关信息。</w:t>
      </w:r>
    </w:p>
    <w:p>
      <w:pPr>
        <w:spacing w:before="120" w:after="120" w:line="288" w:lineRule="auto"/>
        <w:ind w:left="0"/>
      </w:pPr>
      <w:r>
        <w:object>
          <v:shape id="_x0000_i1030" style="width:414pt;height:192pt;mso-width-percent:0;mso-height-percent:0;mso-width-percent:0;mso-height-percent:0" type="#_x0000_t75" o:ole="">
            <v:imagedata r:id="rId19" o:title=""/>
          </v:shape>
          <o:OLEObject DrawAspect="Icon" ObjectID="_1718471224" ProgID="Excel.Sheet.12" ShapeID="_x0000_i1030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owned_urls_referenced</w:t>
      </w:r>
      <w:r>
        <w:rPr>
          <w:rFonts w:eastAsia="等线" w:ascii="Arial" w:cs="Arial" w:hAnsi="Arial"/>
          <w:sz w:val="22"/>
        </w:rPr>
        <w:t xml:space="preserve"> 用于支撑“客户网站是否被 AI 引用”的判断；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external_urls_referenced</w:t>
      </w:r>
      <w:r>
        <w:rPr>
          <w:rFonts w:eastAsia="等线" w:ascii="Arial" w:cs="Arial" w:hAnsi="Arial"/>
          <w:sz w:val="22"/>
        </w:rPr>
        <w:t xml:space="preserve"> 用于展示 AI 回答中引用的其他外部来源链接；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external_domains_referenced</w:t>
      </w:r>
      <w:r>
        <w:rPr>
          <w:rFonts w:eastAsia="等线" w:ascii="Arial" w:cs="Arial" w:hAnsi="Arial"/>
          <w:sz w:val="22"/>
        </w:rPr>
        <w:t xml:space="preserve"> 用于后续统计 AI 回答经常引用哪些第三方网站；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match_channels</w:t>
      </w:r>
      <w:r>
        <w:rPr>
          <w:rFonts w:eastAsia="等线" w:ascii="Arial" w:cs="Arial" w:hAnsi="Arial"/>
          <w:sz w:val="22"/>
        </w:rPr>
        <w:t xml:space="preserve"> 用于解释为什么该条检测结果被判定为“已推荐”。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推荐状态判定示例</w:t>
      </w:r>
      <w:bookmarkEnd w:id="9"/>
    </w:p>
    <w:p>
      <w:pPr>
        <w:spacing w:before="120" w:after="120" w:line="288" w:lineRule="auto"/>
        <w:ind w:left="0"/>
      </w:pPr>
      <w:r>
        <w:object>
          <v:shape id="_x0000_i1031" style="width:414pt;height:192pt;mso-width-percent:0;mso-height-percent:0;mso-width-percent:0;mso-height-percent:0" type="#_x0000_t75" o:ole="">
            <v:imagedata r:id="rId21" o:title=""/>
          </v:shape>
          <o:OLEObject DrawAspect="Icon" ObjectID="_1718471225" ProgID="Excel.Sheet.12" ShapeID="_x0000_i1031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异常与边界处理</w:t>
      </w:r>
      <w:bookmarkEnd w:id="10"/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 xml:space="preserve"> 为空，但从API反馈Json中提取到对应的引用URL，命中客户网站域名，则仍判定为“已推荐”。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如果引用链接为空，但 </w:t>
      </w:r>
      <w:r>
        <w:rPr>
          <w:rFonts w:eastAsia="Consolas" w:ascii="Consolas" w:cs="Consolas" w:hAnsi="Consolas"/>
          <w:sz w:val="22"/>
          <w:shd w:fill="EFF0F1"/>
        </w:rPr>
        <w:t>answer_text</w:t>
      </w:r>
      <w:r>
        <w:rPr>
          <w:rFonts w:eastAsia="等线" w:ascii="Arial" w:cs="Arial" w:hAnsi="Arial"/>
          <w:sz w:val="22"/>
        </w:rPr>
        <w:t xml:space="preserve"> 中命中品牌名称、公司名称或网站域名，则仍判定为“已推荐”。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如果引用链接中只出现外部链接，且正文未命中品牌名称、公司名称或网站域名，则判定为“未推荐”。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提示词详情页界面更新</w:t>
      </w:r>
      <w:bookmarkEnd w:id="1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color w:val="3370ff"/>
          <w:sz w:val="24"/>
        </w:rPr>
        <w:t xml:space="preserve">7.1 </w:t>
      </w:r>
      <w:r>
        <w:rPr>
          <w:rFonts w:eastAsia="等线" w:ascii="Arial" w:cs="Arial" w:hAnsi="Arial"/>
          <w:b w:val="true"/>
          <w:sz w:val="24"/>
        </w:rPr>
        <w:t>“推荐内容”展示区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“推荐内容”展示区将原有的单一表格拆分为三个模块：</w:t>
      </w:r>
    </w:p>
    <w:p>
      <w:pPr>
        <w:spacing w:before="120" w:after="120" w:line="288" w:lineRule="auto"/>
        <w:ind w:left="0"/>
      </w:pPr>
      <w:r>
        <w:object>
          <v:shape id="_x0000_i1032" style="width:414pt;height:136pt;mso-width-percent:0;mso-height-percent:0;mso-width-percent:0;mso-height-percent:0" type="#_x0000_t75" o:ole="">
            <v:imagedata r:id="rId23" o:title=""/>
          </v:shape>
          <o:OLEObject DrawAspect="Icon" ObjectID="_1718471226" ProgID="Excel.Sheet.12" ShapeID="_x0000_i1032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color w:val="3370ff"/>
          <w:sz w:val="24"/>
        </w:rPr>
        <w:t xml:space="preserve">7.2 </w:t>
      </w:r>
      <w:r>
        <w:rPr>
          <w:rFonts w:eastAsia="等线" w:ascii="Arial" w:cs="Arial" w:hAnsi="Arial"/>
          <w:b w:val="true"/>
          <w:sz w:val="24"/>
        </w:rPr>
        <w:t>统计文案</w:t>
      </w:r>
      <w:bookmarkEnd w:id="13"/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原格式</w:t>
      </w:r>
      <w:r>
        <w:rPr>
          <w:rFonts w:eastAsia="等线" w:ascii="Arial" w:cs="Arial" w:hAnsi="Arial"/>
          <w:sz w:val="22"/>
        </w:rPr>
        <w:t>："本次检测共发现 X 处推荐信息"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新格式</w:t>
      </w:r>
      <w:r>
        <w:rPr>
          <w:rFonts w:eastAsia="等线" w:ascii="Arial" w:cs="Arial" w:hAnsi="Arial"/>
          <w:sz w:val="22"/>
        </w:rPr>
        <w:t xml:space="preserve">："本次检测共发现 </w:t>
      </w:r>
      <w:r>
        <w:rPr>
          <w:rFonts w:eastAsia="等线" w:ascii="Arial" w:cs="Arial" w:hAnsi="Arial"/>
          <w:b w:val="true"/>
          <w:sz w:val="22"/>
        </w:rPr>
        <w:t>X</w:t>
      </w:r>
      <w:r>
        <w:rPr>
          <w:rFonts w:eastAsia="等线" w:ascii="Arial" w:cs="Arial" w:hAnsi="Arial"/>
          <w:sz w:val="22"/>
        </w:rPr>
        <w:t xml:space="preserve"> 次品牌/公司提及，</w:t>
      </w:r>
      <w:r>
        <w:rPr>
          <w:rFonts w:eastAsia="等线" w:ascii="Arial" w:cs="Arial" w:hAnsi="Arial"/>
          <w:b w:val="true"/>
          <w:sz w:val="22"/>
        </w:rPr>
        <w:t>Y</w:t>
      </w:r>
      <w:r>
        <w:rPr>
          <w:rFonts w:eastAsia="等线" w:ascii="Arial" w:cs="Arial" w:hAnsi="Arial"/>
          <w:sz w:val="22"/>
        </w:rPr>
        <w:t xml:space="preserve"> 次自有网站链接引用。"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color w:val="3370ff"/>
          <w:sz w:val="24"/>
        </w:rPr>
        <w:t xml:space="preserve">7.3 </w:t>
      </w:r>
      <w:r>
        <w:rPr>
          <w:rFonts w:eastAsia="等线" w:ascii="Arial" w:cs="Arial" w:hAnsi="Arial"/>
          <w:b w:val="true"/>
          <w:sz w:val="24"/>
        </w:rPr>
        <w:t>示例</w:t>
      </w:r>
      <w:bookmarkEnd w:id="14"/>
    </w:p>
    <w:p>
      <w:pPr>
        <w:spacing w:before="120" w:after="120" w:line="288" w:lineRule="auto"/>
        <w:ind w:left="453"/>
      </w:pPr>
      <w:r>
        <w:object>
          <v:shape id="_x0000_i1033" style="width:414pt;height:197pt;mso-width-percent:0;mso-height-percent:0;mso-width-percent:0;mso-height-percent:0" type="#_x0000_t75" o:ole="">
            <v:imagedata r:id="rId25" o:title=""/>
          </v:shape>
          <o:OLEObject DrawAspect="Icon" ObjectID="_1718471227" ProgID="Excel.Sheet.12" ShapeID="_x0000_i1033" Type="Embed" r:id="rId24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历史数据兼容性说明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对于迭代上线前生成的检测任务快照，需要按新规则重跑数据，将自有网站引用数据和其他外部引用数据解析出来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需要确认上游API早期返回的JSON中是否存在引用链接；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若跑历史数据，因此可能产生检测任务的推荐状态变化，则联系产品经理后再执行操作。（由产品经理提供示例网站，按照最新录入的品牌信息、公司信息、网站域名信息，重跑历史检测）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三、新增提示词列表设置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1、新增“运营目标提示词列表”设置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>设置 - 问答监控 - 运营管理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设置项：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7" o:title=""/>
          </v:shape>
          <o:OLEObject DrawAspect="Icon" ObjectID="_1718471228" ProgID="Excel.Sheet.12" ShapeID="_x0000_i1034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2、新增“运营管理提示词列表”设置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>设置 - 问答监控 - 运营管理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设置项：</w:t>
      </w:r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9" o:title=""/>
          </v:shape>
          <o:OLEObject DrawAspect="Icon" ObjectID="_1718471229" ProgID="Excel.Sheet.12" ShapeID="_x0000_i1035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3、新增“自助管理提示词列表”设置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>设置 - 问答监控 - 自助管理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设置项：</w:t>
      </w:r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31" o:title=""/>
          </v:shape>
          <o:OLEObject DrawAspect="Icon" ObjectID="_1718471230" ProgID="Excel.Sheet.12" ShapeID="_x0000_i1036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四、展示维度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1、展示维度：检测记录（仅展示有推荐的记录）</w:t>
      </w:r>
      <w:bookmarkEnd w:id="2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适用列表：</w:t>
      </w:r>
      <w:r>
        <w:rPr>
          <w:rFonts w:eastAsia="等线" w:ascii="Arial" w:cs="Arial" w:hAnsi="Arial"/>
          <w:sz w:val="22"/>
        </w:rPr>
        <w:t>仅“运营目标提示词列表”可选此展示维度（上线后的默认选择此展示维度）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列表页签：</w:t>
      </w:r>
      <w:r>
        <w:rPr>
          <w:rFonts w:eastAsia="等线" w:ascii="Arial" w:cs="Arial" w:hAnsi="Arial"/>
          <w:sz w:val="22"/>
        </w:rPr>
        <w:t>列表上方有“</w:t>
      </w:r>
      <w:r>
        <w:rPr>
          <w:rFonts w:eastAsia="等线" w:ascii="Arial" w:cs="Arial" w:hAnsi="Arial"/>
          <w:b w:val="true"/>
          <w:sz w:val="22"/>
        </w:rPr>
        <w:t>全部（N）</w:t>
      </w:r>
      <w:r>
        <w:rPr>
          <w:rFonts w:eastAsia="等线" w:ascii="Arial" w:cs="Arial" w:hAnsi="Arial"/>
          <w:sz w:val="22"/>
        </w:rPr>
        <w:t>”及“</w:t>
      </w:r>
      <w:r>
        <w:rPr>
          <w:rFonts w:eastAsia="等线" w:ascii="Arial" w:cs="Arial" w:hAnsi="Arial"/>
          <w:b w:val="true"/>
          <w:sz w:val="22"/>
        </w:rPr>
        <w:t>AI平台（N）</w:t>
      </w:r>
      <w:r>
        <w:rPr>
          <w:rFonts w:eastAsia="等线" w:ascii="Arial" w:cs="Arial" w:hAnsi="Arial"/>
          <w:sz w:val="22"/>
        </w:rPr>
        <w:t>”共计7个页签；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默认值：</w:t>
      </w:r>
      <w:r>
        <w:rPr>
          <w:rFonts w:eastAsia="等线" w:ascii="Arial" w:cs="Arial" w:hAnsi="Arial"/>
          <w:sz w:val="22"/>
        </w:rPr>
        <w:t>默认选中“全部（N）”页签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N表示对应页签下列表的记录数量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列表内容：</w:t>
      </w:r>
      <w:r>
        <w:rPr>
          <w:rFonts w:eastAsia="等线" w:ascii="Arial" w:cs="Arial" w:hAnsi="Arial"/>
          <w:sz w:val="22"/>
        </w:rPr>
        <w:t>展示当前列表提示词最新一次检测任务的推荐结果。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1.1 列表表头</w:t>
      </w:r>
      <w:bookmarkEnd w:id="22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3" o:title=""/>
          </v:shape>
          <o:OLEObject DrawAspect="Icon" ObjectID="_1718471231" ProgID="Excel.Sheet.12" ShapeID="_x0000_i1037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1.2 列表筛选功能</w:t>
      </w:r>
      <w:bookmarkEnd w:id="23"/>
    </w:p>
    <w:p>
      <w:pPr>
        <w:spacing w:before="120" w:after="120" w:line="288" w:lineRule="auto"/>
        <w:ind w:left="0"/>
      </w:pPr>
      <w:r>
        <w:object>
          <v:shape id="_x0000_i1038" style="width:414pt;height:53pt;mso-width-percent:0;mso-height-percent:0;mso-width-percent:0;mso-height-percent:0" type="#_x0000_t75" o:ole="">
            <v:imagedata r:id="rId35" o:title=""/>
          </v:shape>
          <o:OLEObject DrawAspect="Icon" ObjectID="_1718471232" ProgID="Excel.Sheet.12" ShapeID="_x0000_i1038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2、展示维度：提示词（按当前推荐状态）</w:t>
      </w:r>
      <w:bookmarkEnd w:id="2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适用列表：</w:t>
      </w:r>
      <w:r>
        <w:rPr>
          <w:rFonts w:eastAsia="等线" w:ascii="Arial" w:cs="Arial" w:hAnsi="Arial"/>
          <w:sz w:val="22"/>
        </w:rPr>
        <w:t>运营目标提示词列表、运营管理提示词列表（默认选择此展示维度）、自助管理提示词列表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列表内容：</w:t>
      </w:r>
      <w:r>
        <w:rPr>
          <w:rFonts w:eastAsia="等线" w:ascii="Arial" w:cs="Arial" w:hAnsi="Arial"/>
          <w:sz w:val="22"/>
        </w:rPr>
        <w:t>展示当前列表中提示词在各AI平台的最新推荐状态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列表顺序：</w:t>
      </w:r>
      <w:r>
        <w:rPr>
          <w:rFonts w:eastAsia="等线" w:ascii="Arial" w:cs="Arial" w:hAnsi="Arial"/>
          <w:sz w:val="22"/>
        </w:rPr>
        <w:t>默认按“当前推荐平台数”降序排列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2.1 列表表头</w:t>
      </w:r>
      <w:bookmarkEnd w:id="25"/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37" o:title=""/>
          </v:shape>
          <o:OLEObject DrawAspect="Icon" ObjectID="_1718471233" ProgID="Excel.Sheet.12" ShapeID="_x0000_i1039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2.2 列表筛选功能</w:t>
      </w:r>
      <w:bookmarkEnd w:id="26"/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39" o:title=""/>
          </v:shape>
          <o:OLEObject DrawAspect="Icon" ObjectID="_1718471234" ProgID="Excel.Sheet.12" ShapeID="_x0000_i1040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3、展示维度：提示词（按累计推荐次数）</w:t>
      </w:r>
      <w:bookmarkEnd w:id="2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适用列表：</w:t>
      </w:r>
      <w:r>
        <w:rPr>
          <w:rFonts w:eastAsia="等线" w:ascii="Arial" w:cs="Arial" w:hAnsi="Arial"/>
          <w:sz w:val="22"/>
        </w:rPr>
        <w:t>运营目标提示词列表、运营管理提示词列表（默认选择此展示维度）、自助管理提示词列表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列表内容：保持现状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列表顺序：</w:t>
      </w:r>
      <w:r>
        <w:rPr>
          <w:rFonts w:eastAsia="等线" w:ascii="Arial" w:cs="Arial" w:hAnsi="Arial"/>
          <w:sz w:val="22"/>
        </w:rPr>
        <w:t>默认按“推荐总次数”降序排列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3.1 列表表头</w:t>
      </w:r>
      <w:bookmarkEnd w:id="28"/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41" o:title=""/>
          </v:shape>
          <o:OLEObject DrawAspect="Icon" ObjectID="_1718471235" ProgID="Excel.Sheet.12" ShapeID="_x0000_i1041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3.2 列表筛选功能</w:t>
      </w:r>
      <w:bookmarkEnd w:id="29"/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39" o:title=""/>
          </v:shape>
          <o:OLEObject DrawAspect="Icon" ObjectID="_1718471236" ProgID="Excel.Sheet.12" ShapeID="_x0000_i1042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五、推荐趋势图表</w:t>
      </w:r>
      <w:bookmarkEnd w:id="30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图表用途：</w:t>
      </w: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color w:val="d83931"/>
          <w:sz w:val="22"/>
          <w:u w:val="single"/>
        </w:rPr>
        <w:t>当前列表</w:t>
      </w:r>
      <w:r>
        <w:rPr>
          <w:rFonts w:eastAsia="等线" w:ascii="Arial" w:cs="Arial" w:hAnsi="Arial"/>
          <w:sz w:val="22"/>
        </w:rPr>
        <w:t>中的提示词作为统计范围，取</w:t>
      </w:r>
      <w:r>
        <w:rPr>
          <w:rFonts w:eastAsia="等线" w:ascii="Arial" w:cs="Arial" w:hAnsi="Arial"/>
          <w:sz w:val="22"/>
          <w:u w:val="single"/>
        </w:rPr>
        <w:t>“当前推荐状态”为“已推荐”</w:t>
      </w:r>
      <w:r>
        <w:rPr>
          <w:rFonts w:eastAsia="等线" w:ascii="Arial" w:cs="Arial" w:hAnsi="Arial"/>
          <w:sz w:val="22"/>
        </w:rPr>
        <w:t xml:space="preserve"> / 在</w:t>
      </w:r>
      <w:r>
        <w:rPr>
          <w:rFonts w:eastAsia="等线" w:ascii="Arial" w:cs="Arial" w:hAnsi="Arial"/>
          <w:sz w:val="22"/>
          <w:u w:val="single"/>
        </w:rPr>
        <w:t>各AI平台的”当前推荐状态“为“已推荐”</w:t>
      </w:r>
      <w:r>
        <w:rPr>
          <w:rFonts w:eastAsia="等线" w:ascii="Arial" w:cs="Arial" w:hAnsi="Arial"/>
          <w:sz w:val="22"/>
        </w:rPr>
        <w:t>的提示词数量，按自然日生成连续趋势数据。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适用列表：</w:t>
      </w:r>
      <w:r>
        <w:rPr>
          <w:rFonts w:eastAsia="等线" w:ascii="Arial" w:cs="Arial" w:hAnsi="Arial"/>
          <w:sz w:val="22"/>
        </w:rPr>
        <w:t>运营目标提示词列表</w:t>
      </w:r>
      <w:r>
        <w:rPr>
          <w:rFonts w:eastAsia="等线" w:ascii="Arial" w:cs="Arial" w:hAnsi="Arial"/>
          <w:b w:val="true"/>
          <w:sz w:val="22"/>
          <w:u w:val="single"/>
        </w:rPr>
        <w:t>（默认不开）</w:t>
      </w:r>
      <w:r>
        <w:rPr>
          <w:rFonts w:eastAsia="等线" w:ascii="Arial" w:cs="Arial" w:hAnsi="Arial"/>
          <w:sz w:val="22"/>
        </w:rPr>
        <w:t>、运营管理提示词列表、自助管理提示词列表</w:t>
      </w:r>
      <w:r>
        <w:rPr>
          <w:rFonts w:eastAsia="等线" w:ascii="Arial" w:cs="Arial" w:hAnsi="Arial"/>
          <w:b w:val="true"/>
          <w:sz w:val="22"/>
          <w:u w:val="single"/>
        </w:rPr>
        <w:t>（默认不开）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图表开关：</w:t>
      </w:r>
      <w:r>
        <w:rPr>
          <w:rFonts w:eastAsia="等线" w:ascii="Arial" w:cs="Arial" w:hAnsi="Arial"/>
          <w:sz w:val="22"/>
        </w:rPr>
        <w:t>设置 - 问答监控 - 运营管理 / 自助管理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图表内容：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图表支持选择要展示的趋势数据，默认仅选择</w:t>
      </w:r>
      <w:r>
        <w:rPr>
          <w:rFonts w:eastAsia="等线" w:ascii="Arial" w:cs="Arial" w:hAnsi="Arial"/>
          <w:sz w:val="22"/>
          <w:u w:val="single"/>
        </w:rPr>
        <w:t>“当前推荐状态”为“已推荐”的</w:t>
      </w:r>
      <w:r>
        <w:rPr>
          <w:rFonts w:eastAsia="等线" w:ascii="Arial" w:cs="Arial" w:hAnsi="Arial"/>
          <w:b w:val="true"/>
          <w:sz w:val="22"/>
        </w:rPr>
        <w:t>“已推荐提示词数”选项</w:t>
      </w:r>
      <w:r>
        <w:rPr>
          <w:rFonts w:eastAsia="等线" w:ascii="Arial" w:cs="Arial" w:hAnsi="Arial"/>
          <w:sz w:val="22"/>
        </w:rPr>
        <w:t>进行展示，可按需切换要展示的AI平台数据进行对比。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590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 轴为自然日期，根据时间范围均分X轴，格式为 MM-DD；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 轴为已推荐提示词数量，仅展示整数刻度；刻度上限为变量，根据所展示的趋势数据动态变化（不要设置为固定值）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鼠标悬浮在图表上时，根据所选的时间，显示信息卡片，信息格式如下：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总计：当天，N个已推荐提示词数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子项：当天，各AI平台的已推荐提示词数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所选日期：当前查看的历史时间（只展示年月日）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“日期筛选器”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>位于图表右上角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显示格式：</w:t>
      </w:r>
      <w:r>
        <w:rPr>
          <w:rFonts w:eastAsia="Consolas" w:ascii="Consolas" w:cs="Consolas" w:hAnsi="Consolas"/>
          <w:sz w:val="22"/>
          <w:shd w:fill="EFF0F1"/>
        </w:rPr>
        <w:t>{yyyy/MM/dd} – {yyyy/MM/dd}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交互规则：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支持选择时间范围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禁止选择未来日期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选中起止日期后自动关闭弹窗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“时间范围下拉选择”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>在“日期筛选器”左侧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下拉快速选项：</w:t>
      </w:r>
      <w:r>
        <w:rPr>
          <w:rFonts w:eastAsia="等线" w:ascii="Arial" w:cs="Arial" w:hAnsi="Arial"/>
          <w:sz w:val="22"/>
        </w:rPr>
        <w:t>自定义，今天，昨天，本周，上周，本月，上月，本季度，上季度，今年，去年，最近7天，最近30天，最近180天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交互规则：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用户点击“时间范围下拉选择”组件中的选项，例如“今年”，时间选择器自动填充对应时间范围 </w:t>
      </w:r>
      <w:r>
        <w:rPr>
          <w:rFonts w:eastAsia="Consolas" w:ascii="Consolas" w:cs="Consolas" w:hAnsi="Consolas"/>
          <w:color w:val="d83931"/>
          <w:sz w:val="22"/>
          <w:shd w:fill="EFF0F1"/>
        </w:rPr>
        <w:t>2026-01-01 ~ 2026-12-31</w:t>
      </w:r>
      <w:r>
        <w:rPr>
          <w:rFonts w:eastAsia="等线" w:ascii="Arial" w:cs="Arial" w:hAnsi="Arial"/>
          <w:sz w:val="22"/>
        </w:rPr>
        <w:t xml:space="preserve"> ，并触发图表按该范围刷新；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用户直接在“时间筛选器”中改了日期，下拉选项立即自动变为“自定义”状态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“时间范围下拉选择”组件中的 </w:t>
      </w:r>
      <w:r>
        <w:rPr>
          <w:rFonts w:eastAsia="Consolas" w:ascii="Consolas" w:cs="Consolas" w:hAnsi="Consolas"/>
          <w:color w:val="d83931"/>
          <w:sz w:val="22"/>
          <w:shd w:fill="EFF0F1"/>
        </w:rPr>
        <w:t>自定义</w:t>
      </w:r>
      <w:r>
        <w:rPr>
          <w:rFonts w:eastAsia="等线" w:ascii="Arial" w:cs="Arial" w:hAnsi="Arial"/>
          <w:sz w:val="22"/>
        </w:rPr>
        <w:t xml:space="preserve"> 选项设为 </w:t>
      </w:r>
      <w:r>
        <w:rPr>
          <w:rFonts w:eastAsia="Consolas" w:ascii="Consolas" w:cs="Consolas" w:hAnsi="Consolas"/>
          <w:color w:val="d83931"/>
          <w:sz w:val="22"/>
          <w:shd w:fill="EFF0F1"/>
        </w:rPr>
        <w:t>disabled</w:t>
      </w:r>
      <w:r>
        <w:rPr>
          <w:rFonts w:eastAsia="等线" w:ascii="Arial" w:cs="Arial" w:hAnsi="Arial"/>
          <w:sz w:val="22"/>
        </w:rPr>
        <w:t>（置灰，禁止用户主动点击选择），仅作为状态回显，不允许用户从其他选项通过点击方式直接选择（因为没有对应时间范围），只允许用户通过“日期筛选器”自选时间范围时，随动切换。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六、列表批量操作</w:t>
      </w:r>
      <w:bookmarkEnd w:id="31"/>
    </w:p>
    <w:p>
      <w:pPr>
        <w:spacing w:before="120" w:after="120" w:line="288" w:lineRule="auto"/>
        <w:ind w:left="0"/>
      </w:pPr>
      <w:r>
        <w:object>
          <v:shape id="_x0000_i1043" style="width:414pt;height:197pt;mso-width-percent:0;mso-height-percent:0;mso-width-percent:0;mso-height-percent:0" type="#_x0000_t75" o:ole="">
            <v:imagedata r:id="rId46" o:title=""/>
          </v:shape>
          <o:OLEObject DrawAspect="Icon" ObjectID="_1718471237" ProgID="Excel.Sheet.12" ShapeID="_x0000_i1043" Type="Embed" r:id="rId4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操作结果反馈（Toast 提示）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当批量操作完成后，系统需通过全局 Toast 给予用户清晰的执行结果反馈。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反馈文案公式：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操作完成，共选中 X 项，成功执行 Y 项。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界面示例</w:t>
      </w:r>
    </w:p>
    <w:p>
      <w:pPr>
        <w:spacing w:before="120" w:after="120" w:line="288" w:lineRule="auto"/>
        <w:ind w:left="0"/>
      </w:pPr>
      <w:r>
        <w:object>
          <v:shape id="_x0000_i1044" style="width:414pt;height:197pt;mso-width-percent:0;mso-height-percent:0;mso-width-percent:0;mso-height-percent:0" type="#_x0000_t75" o:ole="">
            <v:imagedata r:id="rId48" o:title=""/>
          </v:shape>
          <o:OLEObject DrawAspect="Icon" ObjectID="_1718471238" ProgID="Excel.Sheet.12" ShapeID="_x0000_i1044" Type="Embed" r:id="rId4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六、</w:t>
      </w:r>
      <w:r>
        <w:rPr>
          <w:rFonts w:eastAsia="等线" w:ascii="Arial" w:cs="Arial" w:hAnsi="Arial"/>
          <w:b w:val="true"/>
          <w:sz w:val="30"/>
        </w:rPr>
        <w:t>提示词详情页设置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对于“运营目标提示词列表”设置，提示词详情支持两种设置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 id="_x0000_i1045" style="width:414pt;height:107pt;mso-width-percent:0;mso-height-percent:0;mso-width-percent:0;mso-height-percent:0" type="#_x0000_t75" o:ole="">
            <v:imagedata r:id="rId51" o:title=""/>
          </v:shape>
          <o:OLEObject DrawAspect="Icon" ObjectID="_1718471239" ProgID="Excel.Sheet.12" ShapeID="_x0000_i1045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八、导出功能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在“自助管理提示词”、“运营目标提示词”、“运营管理提示词”三个列表筛选项右侧均提供导出按钮，点击后弹出“xxx提示词数据导出”弹窗，支持导出当前列表的提示词数据。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1、交互和逻辑参考“访客雷达”线索导出弹窗；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2、文案：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1、导出的数据文档中包含当前列表中的提示词数据；</w:t>
              <w:br/>
              <w:t>2、已生成的数据文档，您可以在“导出记录”列表中下载；</w:t>
              <w:br/>
              <w:t>3、导出记录列表中可以为您保留最新的10条数据文档；</w:t>
              <w:br/>
            </w:r>
            <w:r>
              <w:rPr>
                <w:rFonts w:eastAsia="Consolas" w:ascii="Consolas" w:cs="Consolas" w:hAnsi="Consolas"/>
                <w:sz w:val="22"/>
              </w:rPr>
              <w:t>4、数据文档在线保存30天后，过期将自动清理，建议您及时下载。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2、导出的字段：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工作表1：当前推荐状态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表头：提示词、当前推荐状态（有推荐、未推荐）、当前识别状态（识别中、已暂停）、品牌提及内容、自有网站引用链接、快照文本、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注：</w:t>
      </w:r>
      <w:r>
        <w:rPr>
          <w:rFonts w:eastAsia="等线" w:ascii="Arial" w:cs="Arial" w:hAnsi="Arial"/>
          <w:sz w:val="22"/>
        </w:rPr>
        <w:t>对于运营角色导出的表格，增加一列“其他引用链接”（客户导出的表格暂不提供此列）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工作表2：提示词检测结果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表头：提示词、推荐总次数、检测次数、ChatGPT总推荐量、Gemini总推荐量总推荐量、AI Mode总推荐量、AI Overview总推荐量、Copilot总推荐量、Perplexity总推荐量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十、GEO运营案例展示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1、服务商系统 - 运营案例，新增页签“GEO增长引擎案例”</w:t>
      </w:r>
      <w:bookmarkEnd w:id="35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页签位置：</w:t>
      </w:r>
      <w:r>
        <w:rPr>
          <w:rFonts w:eastAsia="等线" w:ascii="Arial" w:cs="Arial" w:hAnsi="Arial"/>
          <w:sz w:val="22"/>
        </w:rPr>
        <w:t>在“智慧数据案例”页签按钮右侧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展示权限：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页签对有“服务商系统 - 运营案例”访问权限的用户均可见；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列表中的GEO增长引擎案例网站，需要根据服务商ID区分可见性：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服务商ID为1的系统用户，可见服务商ID为1、644、804的客户网站案例；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其他服务商ID的系统用户，只可见相同服务商ID的客户网站案例；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新增案例类型：</w:t>
      </w:r>
      <w:r>
        <w:rPr>
          <w:rFonts w:eastAsia="等线" w:ascii="Arial" w:cs="Arial" w:hAnsi="Arial"/>
          <w:sz w:val="22"/>
        </w:rPr>
        <w:t>在“添加案例”弹窗中，新增“GEO增长引擎”案例类型，勾选后支持创建一个依托“增长引擎”系统 - AI问答监控视图作为界面的客户网站案例；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案例新增验证：</w:t>
      </w:r>
      <w:r>
        <w:rPr>
          <w:rFonts w:eastAsia="等线" w:ascii="Arial" w:cs="Arial" w:hAnsi="Arial"/>
          <w:sz w:val="22"/>
        </w:rPr>
        <w:t>新增案例时，需要校验对应客户网站域名在增长引擎系统 - AI问答监控功能中，是否为“已添加已授权”状态；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已添加未授权 / 未添加未授权：不支持新增案例；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已添加已授权：支持新增案例。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其他需求：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“GEO增长引擎案例”的列表筛选项及表头，参考“智慧数据案例”；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“GEO增长引擎案例”的“设置标签”功能，参考“智慧数据案例”。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案例分享URL格式：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运营罗盘：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http://ex.ldmfyh.com/showcase/lqinKBjrQorRQljRBrBKiKjpppjr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智慧数据</w:t>
      </w:r>
    </w:p>
    <w:p>
      <w:pPr>
        <w:spacing w:before="120" w:after="120" w:line="288" w:lineRule="auto"/>
        <w:ind w:left="453"/>
        <w:jc w:val="left"/>
      </w:pPr>
      <w:hyperlink r:id="rId53">
        <w:r>
          <w:rPr>
            <w:rFonts w:eastAsia="等线" w:ascii="Arial" w:cs="Arial" w:hAnsi="Arial"/>
            <w:color w:val="3370ff"/>
            <w:sz w:val="22"/>
          </w:rPr>
          <w:t>http://ex.ldmfyh.com/showcase/smartdata/</w:t>
        </w:r>
      </w:hyperlink>
      <w:hyperlink r:id="rId54">
        <w:r>
          <w:rPr>
            <w:rFonts w:eastAsia="等线" w:ascii="Arial" w:cs="Arial" w:hAnsi="Arial"/>
            <w:color w:val="3370ff"/>
            <w:sz w:val="22"/>
          </w:rPr>
          <w:t>lpinKBjrQorRQljRBrBKqKkqjmjr</w:t>
        </w:r>
      </w:hyperlink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GEO增长引擎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hyperlink r:id="rId55">
        <w:r>
          <w:rPr>
            <w:rFonts w:eastAsia="等线" w:ascii="Arial" w:cs="Arial" w:hAnsi="Arial"/>
            <w:color w:val="3370ff"/>
            <w:sz w:val="22"/>
          </w:rPr>
          <w:t>http://ex.ldmfyh.com/showcase/</w:t>
        </w:r>
      </w:hyperlink>
      <w:r>
        <w:rPr>
          <w:rFonts w:eastAsia="等线" w:ascii="Arial" w:cs="Arial" w:hAnsi="Arial"/>
          <w:color w:val="8f959e"/>
          <w:sz w:val="22"/>
        </w:rPr>
        <w:t>growthengine/xxxxxxxxxxxxxx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2、服务商系统 - 案例网站列表，新增页签“GEO运营案例”</w:t>
      </w:r>
      <w:bookmarkEnd w:id="36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关联需求：</w:t>
      </w:r>
      <w:r>
        <w:rPr>
          <w:rFonts w:eastAsia="等线" w:ascii="Arial" w:cs="Arial" w:hAnsi="Arial"/>
          <w:sz w:val="22"/>
        </w:rPr>
        <w:t>服务商系统 - 案例网站列表，页签“运营案例”改名“SEO运营案例”；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页签位置：</w:t>
      </w:r>
      <w:r>
        <w:rPr>
          <w:rFonts w:eastAsia="等线" w:ascii="Arial" w:cs="Arial" w:hAnsi="Arial"/>
          <w:sz w:val="22"/>
        </w:rPr>
        <w:t>在“SEO运营案例”页签按钮右侧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数据来源： </w:t>
      </w:r>
      <w:r>
        <w:rPr>
          <w:rFonts w:eastAsia="等线" w:ascii="Arial" w:cs="Arial" w:hAnsi="Arial"/>
          <w:sz w:val="22"/>
        </w:rPr>
        <w:t>取自“服务商系统 - 运营案例 - GEO增长引擎案例”；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展示权限：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页签对有“案例网站列表”访问权限的用户均可见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列表中的GEO运营案例网站，需要根据服务商ID区分可见性：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服务商ID为1的系统用户，可见服务商ID为1、644、804的客户网站案例；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其他服务商ID的系统用户，只可见相同服务商ID的客户网站案例；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案例数据来源：</w:t>
      </w:r>
      <w:r>
        <w:rPr>
          <w:rFonts w:eastAsia="等线" w:ascii="Arial" w:cs="Arial" w:hAnsi="Arial"/>
          <w:sz w:val="22"/>
        </w:rPr>
        <w:t xml:space="preserve"> 取自“服务商系统 - 运营案例 - GEO增长引擎案例”；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其他需求：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“GEO运营案例”的列表筛选项及表头，参考“SEO运营案例”；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“GEO运营案例”的“设置标签”功能，参考“智慧数据案例”。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3、AI问答监控功能新增“案例视图”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访问特定客户网站GEO运营案例，进入增长引擎系统 - AI问答监控的“案例视图”，以下是该视图下，需要对界面的前端调整。</w:t>
      </w:r>
    </w:p>
    <w:p>
      <w:pPr>
        <w:spacing w:before="120" w:after="120" w:line="288" w:lineRule="auto"/>
        <w:ind w:left="0"/>
      </w:pPr>
      <w:r>
        <w:object>
          <v:shape id="_x0000_i1046" style="width:414pt;height:197pt;mso-width-percent:0;mso-height-percent:0;mso-width-percent:0;mso-height-percent:0" type="#_x0000_t75" o:ole="">
            <v:imagedata r:id="rId59" o:title=""/>
          </v:shape>
          <o:OLEObject DrawAspect="Icon" ObjectID="_1718471240" ProgID="Excel.Sheet.12" ShapeID="_x0000_i1046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十一、其他优化需求</w:t>
      </w:r>
      <w:bookmarkEnd w:id="38"/>
    </w:p>
    <w:p>
      <w:pPr>
        <w:spacing w:before="120" w:after="120" w:line="288" w:lineRule="auto"/>
        <w:ind w:left="0"/>
      </w:pPr>
      <w:commentRangeStart w:id="2"/>
      <w:r>
        <w:object>
          <v:shape id="_x0000_i1047" style="width:414pt;height:197pt;mso-width-percent:0;mso-height-percent:0;mso-width-percent:0;mso-height-percent:0" type="#_x0000_t75" o:ole="">
            <v:imagedata r:id="rId61" o:title=""/>
          </v:shape>
          <o:OLEObject DrawAspect="Icon" ObjectID="_1718471241" ProgID="Excel.Sheet.12" ShapeID="_x0000_i1047" Type="Embed" r:id="rId60"/>
        </w:object>
      </w:r>
      <w:commentRangeEnd w:id="2"/>
      <w:r>
        <w:commentReference w:id="2"/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2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5-08T15:41:17.000+08:00" w:author="任思伟">
    <w:p>
      <w:r>
        <w:t>老用户默认不勾选</w:t>
      </w:r>
    </w:p>
  </w:comment>
  <w:comment w:id="2" w:date="2026-05-09T09:34:50.000+08:00" w:author="任思伟">
    <w:p>
      <w:r>
        <w:t>当前功能已经实现，问题是服务时长是跟着套餐时长走的，而不是默认1年，需要确认下老数据是否需要处理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74744">
    <w:lvl>
      <w:start w:val="1"/>
      <w:numFmt w:val="decimal"/>
      <w:suff w:val="tab"/>
      <w:lvlText w:val="%1."/>
      <w:rPr>
        <w:color w:val="3370ff"/>
      </w:rPr>
    </w:lvl>
  </w:abstractNum>
  <w:abstractNum w:abstractNumId="1874745">
    <w:lvl>
      <w:start w:val="2"/>
      <w:numFmt w:val="decimal"/>
      <w:suff w:val="tab"/>
      <w:lvlText w:val="%1."/>
      <w:rPr>
        <w:color w:val="3370ff"/>
      </w:rPr>
    </w:lvl>
  </w:abstractNum>
  <w:abstractNum w:abstractNumId="1874746">
    <w:lvl>
      <w:start w:val="3"/>
      <w:numFmt w:val="decimal"/>
      <w:suff w:val="tab"/>
      <w:lvlText w:val="%1."/>
      <w:rPr>
        <w:color w:val="3370ff"/>
      </w:rPr>
    </w:lvl>
  </w:abstractNum>
  <w:abstractNum w:abstractNumId="1874747">
    <w:lvl>
      <w:start w:val="4"/>
      <w:numFmt w:val="decimal"/>
      <w:suff w:val="tab"/>
      <w:lvlText w:val="%1."/>
      <w:rPr>
        <w:color w:val="3370ff"/>
      </w:rPr>
    </w:lvl>
  </w:abstractNum>
  <w:abstractNum w:abstractNumId="1874748">
    <w:lvl>
      <w:numFmt w:val="bullet"/>
      <w:suff w:val="tab"/>
      <w:lvlText w:val="￮"/>
      <w:rPr>
        <w:color w:val="3370ff"/>
      </w:rPr>
    </w:lvl>
  </w:abstractNum>
  <w:abstractNum w:abstractNumId="1874749">
    <w:lvl>
      <w:numFmt w:val="bullet"/>
      <w:suff w:val="tab"/>
      <w:lvlText w:val="￮"/>
      <w:rPr>
        <w:color w:val="3370ff"/>
      </w:rPr>
    </w:lvl>
  </w:abstractNum>
  <w:abstractNum w:abstractNumId="1874750">
    <w:lvl>
      <w:numFmt w:val="bullet"/>
      <w:suff w:val="tab"/>
      <w:lvlText w:val="￮"/>
      <w:rPr>
        <w:color w:val="3370ff"/>
      </w:rPr>
    </w:lvl>
  </w:abstractNum>
  <w:abstractNum w:abstractNumId="1874751">
    <w:lvl>
      <w:numFmt w:val="bullet"/>
      <w:suff w:val="tab"/>
      <w:lvlText w:val="•"/>
      <w:rPr>
        <w:color w:val="3370ff"/>
      </w:rPr>
    </w:lvl>
  </w:abstractNum>
  <w:abstractNum w:abstractNumId="1874752">
    <w:lvl>
      <w:numFmt w:val="bullet"/>
      <w:suff w:val="tab"/>
      <w:lvlText w:val="•"/>
      <w:rPr>
        <w:color w:val="3370ff"/>
      </w:rPr>
    </w:lvl>
  </w:abstractNum>
  <w:abstractNum w:abstractNumId="1874753">
    <w:lvl>
      <w:numFmt w:val="bullet"/>
      <w:suff w:val="tab"/>
      <w:lvlText w:val="￮"/>
      <w:rPr>
        <w:color w:val="3370ff"/>
      </w:rPr>
    </w:lvl>
  </w:abstractNum>
  <w:abstractNum w:abstractNumId="1874754">
    <w:lvl>
      <w:numFmt w:val="bullet"/>
      <w:suff w:val="tab"/>
      <w:lvlText w:val="￮"/>
      <w:rPr>
        <w:color w:val="3370ff"/>
      </w:rPr>
    </w:lvl>
  </w:abstractNum>
  <w:abstractNum w:abstractNumId="1874755">
    <w:lvl>
      <w:numFmt w:val="bullet"/>
      <w:suff w:val="tab"/>
      <w:lvlText w:val="•"/>
      <w:rPr>
        <w:color w:val="3370ff"/>
      </w:rPr>
    </w:lvl>
  </w:abstractNum>
  <w:abstractNum w:abstractNumId="1874756">
    <w:lvl>
      <w:numFmt w:val="bullet"/>
      <w:suff w:val="tab"/>
      <w:lvlText w:val="•"/>
      <w:rPr>
        <w:color w:val="3370ff"/>
      </w:rPr>
    </w:lvl>
  </w:abstractNum>
  <w:abstractNum w:abstractNumId="1874757">
    <w:lvl>
      <w:numFmt w:val="bullet"/>
      <w:suff w:val="tab"/>
      <w:lvlText w:val="•"/>
      <w:rPr>
        <w:color w:val="3370ff"/>
      </w:rPr>
    </w:lvl>
  </w:abstractNum>
  <w:abstractNum w:abstractNumId="1874758">
    <w:lvl>
      <w:numFmt w:val="bullet"/>
      <w:suff w:val="tab"/>
      <w:lvlText w:val="￮"/>
      <w:rPr>
        <w:color w:val="3370ff"/>
      </w:rPr>
    </w:lvl>
  </w:abstractNum>
  <w:abstractNum w:abstractNumId="1874759">
    <w:lvl>
      <w:numFmt w:val="bullet"/>
      <w:suff w:val="tab"/>
      <w:lvlText w:val="￮"/>
      <w:rPr>
        <w:color w:val="3370ff"/>
      </w:rPr>
    </w:lvl>
  </w:abstractNum>
  <w:abstractNum w:abstractNumId="1874760">
    <w:lvl>
      <w:numFmt w:val="bullet"/>
      <w:suff w:val="tab"/>
      <w:lvlText w:val="￮"/>
      <w:rPr>
        <w:color w:val="3370ff"/>
      </w:rPr>
    </w:lvl>
  </w:abstractNum>
  <w:abstractNum w:abstractNumId="1874761">
    <w:lvl>
      <w:numFmt w:val="bullet"/>
      <w:suff w:val="tab"/>
      <w:lvlText w:val="￮"/>
      <w:rPr>
        <w:color w:val="3370ff"/>
      </w:rPr>
    </w:lvl>
  </w:abstractNum>
  <w:abstractNum w:abstractNumId="1874762">
    <w:lvl>
      <w:numFmt w:val="bullet"/>
      <w:suff w:val="tab"/>
      <w:lvlText w:val="•"/>
      <w:rPr>
        <w:color w:val="3370ff"/>
      </w:rPr>
    </w:lvl>
  </w:abstractNum>
  <w:abstractNum w:abstractNumId="1874763">
    <w:lvl>
      <w:numFmt w:val="bullet"/>
      <w:suff w:val="tab"/>
      <w:lvlText w:val="•"/>
      <w:rPr>
        <w:color w:val="3370ff"/>
      </w:rPr>
    </w:lvl>
  </w:abstractNum>
  <w:abstractNum w:abstractNumId="1874764">
    <w:lvl>
      <w:numFmt w:val="bullet"/>
      <w:suff w:val="tab"/>
      <w:lvlText w:val="•"/>
      <w:rPr>
        <w:color w:val="3370ff"/>
      </w:rPr>
    </w:lvl>
  </w:abstractNum>
  <w:abstractNum w:abstractNumId="1874765">
    <w:lvl>
      <w:numFmt w:val="bullet"/>
      <w:suff w:val="tab"/>
      <w:lvlText w:val="•"/>
      <w:rPr>
        <w:color w:val="3370ff"/>
      </w:rPr>
    </w:lvl>
  </w:abstractNum>
  <w:abstractNum w:abstractNumId="1874766">
    <w:lvl>
      <w:numFmt w:val="bullet"/>
      <w:suff w:val="tab"/>
      <w:lvlText w:val="￮"/>
      <w:rPr>
        <w:color w:val="3370ff"/>
      </w:rPr>
    </w:lvl>
  </w:abstractNum>
  <w:abstractNum w:abstractNumId="1874767">
    <w:lvl>
      <w:numFmt w:val="bullet"/>
      <w:suff w:val="tab"/>
      <w:lvlText w:val="￮"/>
      <w:rPr>
        <w:color w:val="3370ff"/>
      </w:rPr>
    </w:lvl>
  </w:abstractNum>
  <w:abstractNum w:abstractNumId="1874768">
    <w:lvl>
      <w:numFmt w:val="bullet"/>
      <w:suff w:val="tab"/>
      <w:lvlText w:val="￮"/>
      <w:rPr>
        <w:color w:val="3370ff"/>
      </w:rPr>
    </w:lvl>
  </w:abstractNum>
  <w:abstractNum w:abstractNumId="1874769">
    <w:lvl>
      <w:numFmt w:val="bullet"/>
      <w:suff w:val="tab"/>
      <w:lvlText w:val="￮"/>
      <w:rPr>
        <w:color w:val="3370ff"/>
      </w:rPr>
    </w:lvl>
  </w:abstractNum>
  <w:abstractNum w:abstractNumId="1874770">
    <w:lvl>
      <w:numFmt w:val="bullet"/>
      <w:suff w:val="tab"/>
      <w:lvlText w:val="￮"/>
      <w:rPr>
        <w:color w:val="3370ff"/>
      </w:rPr>
    </w:lvl>
  </w:abstractNum>
  <w:abstractNum w:abstractNumId="1874771">
    <w:lvl>
      <w:numFmt w:val="bullet"/>
      <w:suff w:val="tab"/>
      <w:lvlText w:val="•"/>
      <w:rPr>
        <w:color w:val="3370ff"/>
      </w:rPr>
    </w:lvl>
  </w:abstractNum>
  <w:abstractNum w:abstractNumId="1874772">
    <w:lvl>
      <w:numFmt w:val="bullet"/>
      <w:suff w:val="tab"/>
      <w:lvlText w:val="•"/>
      <w:rPr>
        <w:color w:val="3370ff"/>
      </w:rPr>
    </w:lvl>
  </w:abstractNum>
  <w:abstractNum w:abstractNumId="1874773">
    <w:lvl>
      <w:numFmt w:val="bullet"/>
      <w:suff w:val="tab"/>
      <w:lvlText w:val="•"/>
      <w:rPr>
        <w:color w:val="3370ff"/>
      </w:rPr>
    </w:lvl>
  </w:abstractNum>
  <w:abstractNum w:abstractNumId="1874774">
    <w:lvl>
      <w:numFmt w:val="bullet"/>
      <w:suff w:val="tab"/>
      <w:lvlText w:val="•"/>
      <w:rPr>
        <w:color w:val="3370ff"/>
      </w:rPr>
    </w:lvl>
  </w:abstractNum>
  <w:abstractNum w:abstractNumId="1874775">
    <w:lvl>
      <w:numFmt w:val="bullet"/>
      <w:suff w:val="tab"/>
      <w:lvlText w:val="•"/>
      <w:rPr>
        <w:color w:val="3370ff"/>
      </w:rPr>
    </w:lvl>
  </w:abstractNum>
  <w:abstractNum w:abstractNumId="1874776">
    <w:lvl>
      <w:numFmt w:val="bullet"/>
      <w:suff w:val="tab"/>
      <w:lvlText w:val="•"/>
      <w:rPr>
        <w:color w:val="3370ff"/>
      </w:rPr>
    </w:lvl>
  </w:abstractNum>
  <w:abstractNum w:abstractNumId="1874777">
    <w:lvl>
      <w:numFmt w:val="bullet"/>
      <w:suff w:val="tab"/>
      <w:lvlText w:val="•"/>
      <w:rPr>
        <w:color w:val="3370ff"/>
      </w:rPr>
    </w:lvl>
  </w:abstractNum>
  <w:abstractNum w:abstractNumId="1874778">
    <w:lvl>
      <w:numFmt w:val="bullet"/>
      <w:suff w:val="tab"/>
      <w:lvlText w:val="•"/>
      <w:rPr>
        <w:color w:val="3370ff"/>
      </w:rPr>
    </w:lvl>
  </w:abstractNum>
  <w:abstractNum w:abstractNumId="1874779">
    <w:lvl>
      <w:numFmt w:val="bullet"/>
      <w:suff w:val="tab"/>
      <w:lvlText w:val="•"/>
      <w:rPr>
        <w:color w:val="3370ff"/>
      </w:rPr>
    </w:lvl>
  </w:abstractNum>
  <w:abstractNum w:abstractNumId="1874780">
    <w:lvl>
      <w:numFmt w:val="bullet"/>
      <w:suff w:val="tab"/>
      <w:lvlText w:val="•"/>
      <w:rPr>
        <w:color w:val="3370ff"/>
      </w:rPr>
    </w:lvl>
  </w:abstractNum>
  <w:abstractNum w:abstractNumId="1874781">
    <w:lvl>
      <w:numFmt w:val="bullet"/>
      <w:suff w:val="tab"/>
      <w:lvlText w:val="￮"/>
      <w:rPr>
        <w:color w:val="3370ff"/>
      </w:rPr>
    </w:lvl>
  </w:abstractNum>
  <w:abstractNum w:abstractNumId="1874782">
    <w:lvl>
      <w:numFmt w:val="bullet"/>
      <w:suff w:val="tab"/>
      <w:lvlText w:val="￮"/>
      <w:rPr>
        <w:color w:val="3370ff"/>
      </w:rPr>
    </w:lvl>
  </w:abstractNum>
  <w:abstractNum w:abstractNumId="1874783">
    <w:lvl>
      <w:numFmt w:val="bullet"/>
      <w:suff w:val="tab"/>
      <w:lvlText w:val="•"/>
      <w:rPr>
        <w:color w:val="3370ff"/>
      </w:rPr>
    </w:lvl>
  </w:abstractNum>
  <w:abstractNum w:abstractNumId="1874784">
    <w:lvl>
      <w:numFmt w:val="bullet"/>
      <w:suff w:val="tab"/>
      <w:lvlText w:val="•"/>
      <w:rPr>
        <w:color w:val="3370ff"/>
      </w:rPr>
    </w:lvl>
  </w:abstractNum>
  <w:abstractNum w:abstractNumId="1874785">
    <w:lvl>
      <w:numFmt w:val="bullet"/>
      <w:suff w:val="tab"/>
      <w:lvlText w:val="•"/>
      <w:rPr>
        <w:color w:val="3370ff"/>
      </w:rPr>
    </w:lvl>
  </w:abstractNum>
  <w:abstractNum w:abstractNumId="1874786">
    <w:lvl>
      <w:numFmt w:val="bullet"/>
      <w:suff w:val="tab"/>
      <w:lvlText w:val="•"/>
      <w:rPr>
        <w:color w:val="3370ff"/>
      </w:rPr>
    </w:lvl>
  </w:abstractNum>
  <w:abstractNum w:abstractNumId="1874787">
    <w:lvl>
      <w:numFmt w:val="bullet"/>
      <w:suff w:val="tab"/>
      <w:lvlText w:val="•"/>
      <w:rPr>
        <w:color w:val="3370ff"/>
      </w:rPr>
    </w:lvl>
  </w:abstractNum>
  <w:abstractNum w:abstractNumId="1874788">
    <w:lvl>
      <w:numFmt w:val="bullet"/>
      <w:suff w:val="tab"/>
      <w:lvlText w:val="•"/>
      <w:rPr>
        <w:color w:val="3370ff"/>
      </w:rPr>
    </w:lvl>
  </w:abstractNum>
  <w:abstractNum w:abstractNumId="1874789">
    <w:lvl>
      <w:numFmt w:val="bullet"/>
      <w:suff w:val="tab"/>
      <w:lvlText w:val="•"/>
      <w:rPr>
        <w:color w:val="3370ff"/>
      </w:rPr>
    </w:lvl>
  </w:abstractNum>
  <w:abstractNum w:abstractNumId="1874790">
    <w:lvl>
      <w:numFmt w:val="bullet"/>
      <w:suff w:val="tab"/>
      <w:lvlText w:val="•"/>
      <w:rPr>
        <w:color w:val="3370ff"/>
      </w:rPr>
    </w:lvl>
  </w:abstractNum>
  <w:abstractNum w:abstractNumId="1874791">
    <w:lvl>
      <w:numFmt w:val="bullet"/>
      <w:suff w:val="tab"/>
      <w:lvlText w:val="•"/>
      <w:rPr>
        <w:color w:val="3370ff"/>
      </w:rPr>
    </w:lvl>
  </w:abstractNum>
  <w:abstractNum w:abstractNumId="1874792">
    <w:lvl>
      <w:numFmt w:val="bullet"/>
      <w:suff w:val="tab"/>
      <w:lvlText w:val="•"/>
      <w:rPr>
        <w:color w:val="3370ff"/>
      </w:rPr>
    </w:lvl>
  </w:abstractNum>
  <w:abstractNum w:abstractNumId="1874793">
    <w:lvl>
      <w:numFmt w:val="bullet"/>
      <w:suff w:val="tab"/>
      <w:lvlText w:val="•"/>
      <w:rPr>
        <w:color w:val="3370ff"/>
      </w:rPr>
    </w:lvl>
  </w:abstractNum>
  <w:abstractNum w:abstractNumId="1874794">
    <w:lvl>
      <w:numFmt w:val="bullet"/>
      <w:suff w:val="tab"/>
      <w:lvlText w:val="￮"/>
      <w:rPr>
        <w:color w:val="3370ff"/>
      </w:rPr>
    </w:lvl>
  </w:abstractNum>
  <w:abstractNum w:abstractNumId="1874795">
    <w:lvl>
      <w:numFmt w:val="bullet"/>
      <w:suff w:val="tab"/>
      <w:lvlText w:val="￮"/>
      <w:rPr>
        <w:color w:val="3370ff"/>
      </w:rPr>
    </w:lvl>
  </w:abstractNum>
  <w:abstractNum w:abstractNumId="1874796">
    <w:lvl>
      <w:numFmt w:val="bullet"/>
      <w:suff w:val="tab"/>
      <w:lvlText w:val="￮"/>
      <w:rPr>
        <w:color w:val="3370ff"/>
      </w:rPr>
    </w:lvl>
  </w:abstractNum>
  <w:abstractNum w:abstractNumId="1874797">
    <w:lvl>
      <w:numFmt w:val="bullet"/>
      <w:suff w:val="tab"/>
      <w:lvlText w:val="￮"/>
      <w:rPr>
        <w:color w:val="3370ff"/>
      </w:rPr>
    </w:lvl>
  </w:abstractNum>
  <w:abstractNum w:abstractNumId="1874798">
    <w:lvl>
      <w:numFmt w:val="bullet"/>
      <w:suff w:val="tab"/>
      <w:lvlText w:val="▪"/>
      <w:rPr>
        <w:color w:val="3370ff"/>
        <w:sz w:val="11"/>
      </w:rPr>
    </w:lvl>
  </w:abstractNum>
  <w:abstractNum w:abstractNumId="1874799">
    <w:lvl>
      <w:numFmt w:val="bullet"/>
      <w:suff w:val="tab"/>
      <w:lvlText w:val="▪"/>
      <w:rPr>
        <w:color w:val="3370ff"/>
        <w:sz w:val="11"/>
      </w:rPr>
    </w:lvl>
  </w:abstractNum>
  <w:abstractNum w:abstractNumId="1874800">
    <w:lvl>
      <w:numFmt w:val="bullet"/>
      <w:suff w:val="tab"/>
      <w:lvlText w:val="▪"/>
      <w:rPr>
        <w:color w:val="3370ff"/>
        <w:sz w:val="11"/>
      </w:rPr>
    </w:lvl>
  </w:abstractNum>
  <w:abstractNum w:abstractNumId="1874801">
    <w:lvl>
      <w:numFmt w:val="bullet"/>
      <w:suff w:val="tab"/>
      <w:lvlText w:val="•"/>
      <w:rPr>
        <w:color w:val="3370ff"/>
      </w:rPr>
    </w:lvl>
  </w:abstractNum>
  <w:abstractNum w:abstractNumId="1874802">
    <w:lvl>
      <w:numFmt w:val="bullet"/>
      <w:suff w:val="tab"/>
      <w:lvlText w:val="￮"/>
      <w:rPr>
        <w:color w:val="3370ff"/>
      </w:rPr>
    </w:lvl>
  </w:abstractNum>
  <w:abstractNum w:abstractNumId="1874803">
    <w:lvl>
      <w:numFmt w:val="bullet"/>
      <w:suff w:val="tab"/>
      <w:lvlText w:val="￮"/>
      <w:rPr>
        <w:color w:val="3370ff"/>
      </w:rPr>
    </w:lvl>
  </w:abstractNum>
  <w:abstractNum w:abstractNumId="1874804">
    <w:lvl>
      <w:numFmt w:val="bullet"/>
      <w:suff w:val="tab"/>
      <w:lvlText w:val="￮"/>
      <w:rPr>
        <w:color w:val="3370ff"/>
      </w:rPr>
    </w:lvl>
  </w:abstractNum>
  <w:abstractNum w:abstractNumId="1874805">
    <w:lvl>
      <w:numFmt w:val="bullet"/>
      <w:suff w:val="tab"/>
      <w:lvlText w:val="▪"/>
      <w:rPr>
        <w:color w:val="3370ff"/>
        <w:sz w:val="11"/>
      </w:rPr>
    </w:lvl>
  </w:abstractNum>
  <w:abstractNum w:abstractNumId="1874806">
    <w:lvl>
      <w:numFmt w:val="bullet"/>
      <w:suff w:val="tab"/>
      <w:lvlText w:val="▪"/>
      <w:rPr>
        <w:color w:val="3370ff"/>
        <w:sz w:val="11"/>
      </w:rPr>
    </w:lvl>
  </w:abstractNum>
  <w:abstractNum w:abstractNumId="1874807">
    <w:lvl>
      <w:numFmt w:val="bullet"/>
      <w:suff w:val="tab"/>
      <w:lvlText w:val="▪"/>
      <w:rPr>
        <w:color w:val="3370ff"/>
        <w:sz w:val="11"/>
      </w:rPr>
    </w:lvl>
  </w:abstractNum>
  <w:abstractNum w:abstractNumId="1874808">
    <w:lvl>
      <w:numFmt w:val="bullet"/>
      <w:suff w:val="tab"/>
      <w:lvlText w:val="•"/>
      <w:rPr>
        <w:color w:val="3370ff"/>
      </w:rPr>
    </w:lvl>
  </w:abstractNum>
  <w:abstractNum w:abstractNumId="1874809">
    <w:lvl>
      <w:numFmt w:val="bullet"/>
      <w:suff w:val="tab"/>
      <w:lvlText w:val="￮"/>
      <w:rPr>
        <w:color w:val="3370ff"/>
      </w:rPr>
    </w:lvl>
  </w:abstractNum>
  <w:abstractNum w:abstractNumId="1874810">
    <w:lvl>
      <w:numFmt w:val="bullet"/>
      <w:suff w:val="tab"/>
      <w:lvlText w:val="￮"/>
      <w:rPr>
        <w:color w:val="3370ff"/>
      </w:rPr>
    </w:lvl>
  </w:abstractNum>
  <w:abstractNum w:abstractNumId="1874811">
    <w:lvl>
      <w:numFmt w:val="bullet"/>
      <w:suff w:val="tab"/>
      <w:lvlText w:val="￮"/>
      <w:rPr>
        <w:color w:val="3370ff"/>
      </w:rPr>
    </w:lvl>
  </w:abstractNum>
  <w:abstractNum w:abstractNumId="1874812">
    <w:lvl>
      <w:numFmt w:val="bullet"/>
      <w:suff w:val="tab"/>
      <w:lvlText w:val="▪"/>
      <w:rPr>
        <w:color w:val="3370ff"/>
        <w:sz w:val="11"/>
      </w:rPr>
    </w:lvl>
  </w:abstractNum>
  <w:abstractNum w:abstractNumId="1874813">
    <w:lvl>
      <w:numFmt w:val="bullet"/>
      <w:suff w:val="tab"/>
      <w:lvlText w:val="▪"/>
      <w:rPr>
        <w:color w:val="3370ff"/>
        <w:sz w:val="11"/>
      </w:rPr>
    </w:lvl>
  </w:abstractNum>
  <w:abstractNum w:abstractNumId="1874814">
    <w:lvl>
      <w:numFmt w:val="bullet"/>
      <w:suff w:val="tab"/>
      <w:lvlText w:val="▪"/>
      <w:rPr>
        <w:color w:val="3370ff"/>
        <w:sz w:val="11"/>
      </w:rPr>
    </w:lvl>
  </w:abstractNum>
  <w:abstractNum w:abstractNumId="1874815">
    <w:lvl>
      <w:numFmt w:val="bullet"/>
      <w:suff w:val="tab"/>
      <w:lvlText w:val="•"/>
      <w:rPr>
        <w:color w:val="3370ff"/>
      </w:rPr>
    </w:lvl>
  </w:abstractNum>
  <w:abstractNum w:abstractNumId="1874816">
    <w:lvl>
      <w:numFmt w:val="bullet"/>
      <w:suff w:val="tab"/>
      <w:lvlText w:val="￮"/>
      <w:rPr>
        <w:color w:val="3370ff"/>
      </w:rPr>
    </w:lvl>
  </w:abstractNum>
  <w:abstractNum w:abstractNumId="1874817">
    <w:lvl>
      <w:numFmt w:val="bullet"/>
      <w:suff w:val="tab"/>
      <w:lvlText w:val="￮"/>
      <w:rPr>
        <w:color w:val="3370ff"/>
      </w:rPr>
    </w:lvl>
  </w:abstractNum>
  <w:abstractNum w:abstractNumId="1874818">
    <w:lvl>
      <w:numFmt w:val="bullet"/>
      <w:suff w:val="tab"/>
      <w:lvlText w:val="•"/>
      <w:rPr>
        <w:color w:val="3370ff"/>
      </w:rPr>
    </w:lvl>
  </w:abstractNum>
  <w:abstractNum w:abstractNumId="1874819">
    <w:lvl>
      <w:numFmt w:val="bullet"/>
      <w:suff w:val="tab"/>
      <w:lvlText w:val="•"/>
      <w:rPr>
        <w:color w:val="3370ff"/>
      </w:rPr>
    </w:lvl>
  </w:abstractNum>
  <w:abstractNum w:abstractNumId="1874820">
    <w:lvl>
      <w:numFmt w:val="bullet"/>
      <w:suff w:val="tab"/>
      <w:lvlText w:val="￮"/>
      <w:rPr>
        <w:color w:val="3370ff"/>
      </w:rPr>
    </w:lvl>
  </w:abstractNum>
  <w:abstractNum w:abstractNumId="1874821">
    <w:lvl>
      <w:numFmt w:val="bullet"/>
      <w:suff w:val="tab"/>
      <w:lvlText w:val="￮"/>
      <w:rPr>
        <w:color w:val="3370ff"/>
      </w:rPr>
    </w:lvl>
  </w:abstractNum>
  <w:abstractNum w:abstractNumId="1874822">
    <w:lvl>
      <w:numFmt w:val="bullet"/>
      <w:suff w:val="tab"/>
      <w:lvlText w:val="•"/>
      <w:rPr>
        <w:color w:val="3370ff"/>
      </w:rPr>
    </w:lvl>
  </w:abstractNum>
  <w:abstractNum w:abstractNumId="1874823">
    <w:lvl>
      <w:numFmt w:val="bullet"/>
      <w:suff w:val="tab"/>
      <w:lvlText w:val="￮"/>
      <w:rPr>
        <w:color w:val="3370ff"/>
      </w:rPr>
    </w:lvl>
  </w:abstractNum>
  <w:abstractNum w:abstractNumId="1874824">
    <w:lvl>
      <w:numFmt w:val="bullet"/>
      <w:suff w:val="tab"/>
      <w:lvlText w:val="•"/>
      <w:rPr>
        <w:color w:val="3370ff"/>
      </w:rPr>
    </w:lvl>
  </w:abstractNum>
  <w:abstractNum w:abstractNumId="1874825">
    <w:lvl>
      <w:numFmt w:val="bullet"/>
      <w:suff w:val="tab"/>
      <w:lvlText w:val="•"/>
      <w:rPr>
        <w:color w:val="3370ff"/>
      </w:rPr>
    </w:lvl>
  </w:abstractNum>
  <w:abstractNum w:abstractNumId="1874826">
    <w:lvl>
      <w:numFmt w:val="bullet"/>
      <w:suff w:val="tab"/>
      <w:lvlText w:val="￮"/>
      <w:rPr>
        <w:color w:val="3370ff"/>
      </w:rPr>
    </w:lvl>
  </w:abstractNum>
  <w:abstractNum w:abstractNumId="1874827">
    <w:lvl>
      <w:numFmt w:val="bullet"/>
      <w:suff w:val="tab"/>
      <w:lvlText w:val="￮"/>
      <w:rPr>
        <w:color w:val="3370ff"/>
      </w:rPr>
    </w:lvl>
  </w:abstractNum>
  <w:abstractNum w:abstractNumId="1874828">
    <w:lvl>
      <w:numFmt w:val="bullet"/>
      <w:suff w:val="tab"/>
      <w:lvlText w:val="▪"/>
      <w:rPr>
        <w:color w:val="3370ff"/>
        <w:sz w:val="11"/>
      </w:rPr>
    </w:lvl>
  </w:abstractNum>
  <w:abstractNum w:abstractNumId="1874829">
    <w:lvl>
      <w:numFmt w:val="bullet"/>
      <w:suff w:val="tab"/>
      <w:lvlText w:val="▪"/>
      <w:rPr>
        <w:color w:val="3370ff"/>
        <w:sz w:val="11"/>
      </w:rPr>
    </w:lvl>
  </w:abstractNum>
  <w:abstractNum w:abstractNumId="1874830">
    <w:lvl>
      <w:numFmt w:val="bullet"/>
      <w:suff w:val="tab"/>
      <w:lvlText w:val="•"/>
      <w:rPr>
        <w:color w:val="3370ff"/>
      </w:rPr>
    </w:lvl>
  </w:abstractNum>
  <w:abstractNum w:abstractNumId="1874831">
    <w:lvl>
      <w:numFmt w:val="bullet"/>
      <w:suff w:val="tab"/>
      <w:lvlText w:val="•"/>
      <w:rPr>
        <w:color w:val="3370ff"/>
      </w:rPr>
    </w:lvl>
  </w:abstractNum>
  <w:abstractNum w:abstractNumId="1874832">
    <w:lvl>
      <w:numFmt w:val="bullet"/>
      <w:suff w:val="tab"/>
      <w:lvlText w:val="￮"/>
      <w:rPr>
        <w:color w:val="3370ff"/>
      </w:rPr>
    </w:lvl>
  </w:abstractNum>
  <w:abstractNum w:abstractNumId="1874833">
    <w:lvl>
      <w:numFmt w:val="bullet"/>
      <w:suff w:val="tab"/>
      <w:lvlText w:val="￮"/>
      <w:rPr>
        <w:color w:val="3370ff"/>
      </w:rPr>
    </w:lvl>
  </w:abstractNum>
  <w:abstractNum w:abstractNumId="1874834">
    <w:lvl>
      <w:numFmt w:val="bullet"/>
      <w:suff w:val="tab"/>
      <w:lvlText w:val="•"/>
      <w:rPr>
        <w:color w:val="3370ff"/>
      </w:rPr>
    </w:lvl>
  </w:abstractNum>
  <w:abstractNum w:abstractNumId="1874835">
    <w:lvl>
      <w:numFmt w:val="bullet"/>
      <w:suff w:val="tab"/>
      <w:lvlText w:val="￮"/>
      <w:rPr>
        <w:color w:val="3370ff"/>
      </w:rPr>
    </w:lvl>
  </w:abstractNum>
  <w:abstractNum w:abstractNumId="1874836">
    <w:lvl>
      <w:numFmt w:val="bullet"/>
      <w:suff w:val="tab"/>
      <w:lvlText w:val="￮"/>
      <w:rPr>
        <w:color w:val="3370ff"/>
      </w:rPr>
    </w:lvl>
  </w:abstractNum>
  <w:abstractNum w:abstractNumId="1874837">
    <w:lvl>
      <w:numFmt w:val="bullet"/>
      <w:suff w:val="tab"/>
      <w:lvlText w:val="•"/>
      <w:rPr>
        <w:color w:val="3370ff"/>
      </w:rPr>
    </w:lvl>
  </w:abstractNum>
  <w:abstractNum w:abstractNumId="1874838">
    <w:lvl>
      <w:numFmt w:val="bullet"/>
      <w:suff w:val="tab"/>
      <w:lvlText w:val="￮"/>
      <w:rPr>
        <w:color w:val="3370ff"/>
      </w:rPr>
    </w:lvl>
  </w:abstractNum>
  <w:abstractNum w:abstractNumId="1874839">
    <w:lvl>
      <w:numFmt w:val="bullet"/>
      <w:suff w:val="tab"/>
      <w:lvlText w:val="￮"/>
      <w:rPr>
        <w:color w:val="3370ff"/>
      </w:rPr>
    </w:lvl>
  </w:abstractNum>
  <w:abstractNum w:abstractNumId="1874840">
    <w:lvl>
      <w:numFmt w:val="bullet"/>
      <w:suff w:val="tab"/>
      <w:lvlText w:val="￮"/>
      <w:rPr>
        <w:color w:val="3370ff"/>
      </w:rPr>
    </w:lvl>
  </w:abstractNum>
  <w:abstractNum w:abstractNumId="1874841">
    <w:lvl>
      <w:numFmt w:val="bullet"/>
      <w:suff w:val="tab"/>
      <w:lvlText w:val="￮"/>
      <w:rPr>
        <w:color w:val="3370ff"/>
      </w:rPr>
    </w:lvl>
  </w:abstractNum>
  <w:abstractNum w:abstractNumId="1874842">
    <w:lvl>
      <w:numFmt w:val="bullet"/>
      <w:suff w:val="tab"/>
      <w:lvlText w:val="•"/>
      <w:rPr>
        <w:color w:val="3370ff"/>
      </w:rPr>
    </w:lvl>
  </w:abstractNum>
  <w:abstractNum w:abstractNumId="1874843">
    <w:lvl>
      <w:numFmt w:val="bullet"/>
      <w:suff w:val="tab"/>
      <w:lvlText w:val="•"/>
      <w:rPr>
        <w:color w:val="3370ff"/>
      </w:rPr>
    </w:lvl>
  </w:abstractNum>
  <w:abstractNum w:abstractNumId="1874844">
    <w:lvl>
      <w:numFmt w:val="bullet"/>
      <w:suff w:val="tab"/>
      <w:lvlText w:val="•"/>
      <w:rPr>
        <w:color w:val="3370ff"/>
      </w:rPr>
    </w:lvl>
  </w:abstractNum>
  <w:abstractNum w:abstractNumId="1874845">
    <w:lvl>
      <w:numFmt w:val="bullet"/>
      <w:suff w:val="tab"/>
      <w:lvlText w:val="•"/>
      <w:rPr>
        <w:color w:val="3370ff"/>
      </w:rPr>
    </w:lvl>
  </w:abstractNum>
  <w:abstractNum w:abstractNumId="1874846">
    <w:lvl>
      <w:numFmt w:val="bullet"/>
      <w:suff w:val="tab"/>
      <w:lvlText w:val="￮"/>
      <w:rPr>
        <w:color w:val="3370ff"/>
      </w:rPr>
    </w:lvl>
  </w:abstractNum>
  <w:abstractNum w:abstractNumId="1874847">
    <w:lvl>
      <w:numFmt w:val="bullet"/>
      <w:suff w:val="tab"/>
      <w:lvlText w:val="￮"/>
      <w:rPr>
        <w:color w:val="3370ff"/>
      </w:rPr>
    </w:lvl>
  </w:abstractNum>
  <w:abstractNum w:abstractNumId="1874848">
    <w:lvl>
      <w:numFmt w:val="bullet"/>
      <w:suff w:val="tab"/>
      <w:lvlText w:val="▪"/>
      <w:rPr>
        <w:color w:val="3370ff"/>
        <w:sz w:val="11"/>
      </w:rPr>
    </w:lvl>
  </w:abstractNum>
  <w:abstractNum w:abstractNumId="1874849">
    <w:lvl>
      <w:numFmt w:val="bullet"/>
      <w:suff w:val="tab"/>
      <w:lvlText w:val="▪"/>
      <w:rPr>
        <w:color w:val="3370ff"/>
        <w:sz w:val="11"/>
      </w:rPr>
    </w:lvl>
  </w:abstractNum>
  <w:abstractNum w:abstractNumId="1874850">
    <w:lvl>
      <w:numFmt w:val="bullet"/>
      <w:suff w:val="tab"/>
      <w:lvlText w:val="•"/>
      <w:rPr>
        <w:color w:val="3370ff"/>
      </w:rPr>
    </w:lvl>
  </w:abstractNum>
  <w:abstractNum w:abstractNumId="1874851">
    <w:lvl>
      <w:numFmt w:val="bullet"/>
      <w:suff w:val="tab"/>
      <w:lvlText w:val="•"/>
      <w:rPr>
        <w:color w:val="3370ff"/>
      </w:rPr>
    </w:lvl>
  </w:abstractNum>
  <w:abstractNum w:abstractNumId="1874852">
    <w:lvl>
      <w:numFmt w:val="bullet"/>
      <w:suff w:val="tab"/>
      <w:lvlText w:val="￮"/>
      <w:rPr>
        <w:color w:val="3370ff"/>
      </w:rPr>
    </w:lvl>
  </w:abstractNum>
  <w:abstractNum w:abstractNumId="1874853">
    <w:lvl>
      <w:numFmt w:val="bullet"/>
      <w:suff w:val="tab"/>
      <w:lvlText w:val="￮"/>
      <w:rPr>
        <w:color w:val="3370ff"/>
      </w:rPr>
    </w:lvl>
  </w:abstractNum>
  <w:num w:numId="1">
    <w:abstractNumId w:val="1874744"/>
  </w:num>
  <w:num w:numId="2">
    <w:abstractNumId w:val="1874745"/>
  </w:num>
  <w:num w:numId="3">
    <w:abstractNumId w:val="1874746"/>
  </w:num>
  <w:num w:numId="4">
    <w:abstractNumId w:val="1874747"/>
  </w:num>
  <w:num w:numId="5">
    <w:abstractNumId w:val="1874748"/>
  </w:num>
  <w:num w:numId="6">
    <w:abstractNumId w:val="1874749"/>
  </w:num>
  <w:num w:numId="7">
    <w:abstractNumId w:val="1874750"/>
  </w:num>
  <w:num w:numId="8">
    <w:abstractNumId w:val="1874751"/>
  </w:num>
  <w:num w:numId="9">
    <w:abstractNumId w:val="1874752"/>
  </w:num>
  <w:num w:numId="10">
    <w:abstractNumId w:val="1874753"/>
  </w:num>
  <w:num w:numId="11">
    <w:abstractNumId w:val="1874754"/>
  </w:num>
  <w:num w:numId="12">
    <w:abstractNumId w:val="1874755"/>
  </w:num>
  <w:num w:numId="13">
    <w:abstractNumId w:val="1874756"/>
  </w:num>
  <w:num w:numId="14">
    <w:abstractNumId w:val="1874757"/>
  </w:num>
  <w:num w:numId="15">
    <w:abstractNumId w:val="1874758"/>
  </w:num>
  <w:num w:numId="16">
    <w:abstractNumId w:val="1874759"/>
  </w:num>
  <w:num w:numId="17">
    <w:abstractNumId w:val="1874760"/>
  </w:num>
  <w:num w:numId="18">
    <w:abstractNumId w:val="1874761"/>
  </w:num>
  <w:num w:numId="19">
    <w:abstractNumId w:val="1874762"/>
  </w:num>
  <w:num w:numId="20">
    <w:abstractNumId w:val="1874763"/>
  </w:num>
  <w:num w:numId="21">
    <w:abstractNumId w:val="1874764"/>
  </w:num>
  <w:num w:numId="22">
    <w:abstractNumId w:val="1874765"/>
  </w:num>
  <w:num w:numId="23">
    <w:abstractNumId w:val="1874766"/>
  </w:num>
  <w:num w:numId="24">
    <w:abstractNumId w:val="1874767"/>
  </w:num>
  <w:num w:numId="25">
    <w:abstractNumId w:val="1874768"/>
  </w:num>
  <w:num w:numId="26">
    <w:abstractNumId w:val="1874769"/>
  </w:num>
  <w:num w:numId="27">
    <w:abstractNumId w:val="1874770"/>
  </w:num>
  <w:num w:numId="28">
    <w:abstractNumId w:val="1874771"/>
  </w:num>
  <w:num w:numId="29">
    <w:abstractNumId w:val="1874772"/>
  </w:num>
  <w:num w:numId="30">
    <w:abstractNumId w:val="1874773"/>
  </w:num>
  <w:num w:numId="31">
    <w:abstractNumId w:val="1874774"/>
  </w:num>
  <w:num w:numId="32">
    <w:abstractNumId w:val="1874775"/>
  </w:num>
  <w:num w:numId="33">
    <w:abstractNumId w:val="1874776"/>
  </w:num>
  <w:num w:numId="34">
    <w:abstractNumId w:val="1874777"/>
  </w:num>
  <w:num w:numId="35">
    <w:abstractNumId w:val="1874778"/>
  </w:num>
  <w:num w:numId="36">
    <w:abstractNumId w:val="1874779"/>
  </w:num>
  <w:num w:numId="37">
    <w:abstractNumId w:val="1874780"/>
  </w:num>
  <w:num w:numId="38">
    <w:abstractNumId w:val="1874781"/>
  </w:num>
  <w:num w:numId="39">
    <w:abstractNumId w:val="1874782"/>
  </w:num>
  <w:num w:numId="40">
    <w:abstractNumId w:val="1874783"/>
  </w:num>
  <w:num w:numId="41">
    <w:abstractNumId w:val="1874784"/>
  </w:num>
  <w:num w:numId="42">
    <w:abstractNumId w:val="1874785"/>
  </w:num>
  <w:num w:numId="43">
    <w:abstractNumId w:val="1874786"/>
  </w:num>
  <w:num w:numId="44">
    <w:abstractNumId w:val="1874787"/>
  </w:num>
  <w:num w:numId="45">
    <w:abstractNumId w:val="1874788"/>
  </w:num>
  <w:num w:numId="46">
    <w:abstractNumId w:val="1874789"/>
  </w:num>
  <w:num w:numId="47">
    <w:abstractNumId w:val="1874790"/>
  </w:num>
  <w:num w:numId="48">
    <w:abstractNumId w:val="1874791"/>
  </w:num>
  <w:num w:numId="49">
    <w:abstractNumId w:val="1874792"/>
  </w:num>
  <w:num w:numId="50">
    <w:abstractNumId w:val="1874793"/>
  </w:num>
  <w:num w:numId="51">
    <w:abstractNumId w:val="1874794"/>
  </w:num>
  <w:num w:numId="52">
    <w:abstractNumId w:val="1874795"/>
  </w:num>
  <w:num w:numId="53">
    <w:abstractNumId w:val="1874796"/>
  </w:num>
  <w:num w:numId="54">
    <w:abstractNumId w:val="1874797"/>
  </w:num>
  <w:num w:numId="55">
    <w:abstractNumId w:val="1874798"/>
  </w:num>
  <w:num w:numId="56">
    <w:abstractNumId w:val="1874799"/>
  </w:num>
  <w:num w:numId="57">
    <w:abstractNumId w:val="1874800"/>
  </w:num>
  <w:num w:numId="58">
    <w:abstractNumId w:val="1874801"/>
  </w:num>
  <w:num w:numId="59">
    <w:abstractNumId w:val="1874802"/>
  </w:num>
  <w:num w:numId="60">
    <w:abstractNumId w:val="1874803"/>
  </w:num>
  <w:num w:numId="61">
    <w:abstractNumId w:val="1874804"/>
  </w:num>
  <w:num w:numId="62">
    <w:abstractNumId w:val="1874805"/>
  </w:num>
  <w:num w:numId="63">
    <w:abstractNumId w:val="1874806"/>
  </w:num>
  <w:num w:numId="64">
    <w:abstractNumId w:val="1874807"/>
  </w:num>
  <w:num w:numId="65">
    <w:abstractNumId w:val="1874808"/>
  </w:num>
  <w:num w:numId="66">
    <w:abstractNumId w:val="1874809"/>
  </w:num>
  <w:num w:numId="67">
    <w:abstractNumId w:val="1874810"/>
  </w:num>
  <w:num w:numId="68">
    <w:abstractNumId w:val="1874811"/>
  </w:num>
  <w:num w:numId="69">
    <w:abstractNumId w:val="1874812"/>
  </w:num>
  <w:num w:numId="70">
    <w:abstractNumId w:val="1874813"/>
  </w:num>
  <w:num w:numId="71">
    <w:abstractNumId w:val="1874814"/>
  </w:num>
  <w:num w:numId="72">
    <w:abstractNumId w:val="1874815"/>
  </w:num>
  <w:num w:numId="73">
    <w:abstractNumId w:val="1874816"/>
  </w:num>
  <w:num w:numId="74">
    <w:abstractNumId w:val="1874817"/>
  </w:num>
  <w:num w:numId="75">
    <w:abstractNumId w:val="1874818"/>
  </w:num>
  <w:num w:numId="76">
    <w:abstractNumId w:val="1874819"/>
  </w:num>
  <w:num w:numId="77">
    <w:abstractNumId w:val="1874820"/>
  </w:num>
  <w:num w:numId="78">
    <w:abstractNumId w:val="1874821"/>
  </w:num>
  <w:num w:numId="79">
    <w:abstractNumId w:val="1874822"/>
  </w:num>
  <w:num w:numId="80">
    <w:abstractNumId w:val="1874823"/>
  </w:num>
  <w:num w:numId="81">
    <w:abstractNumId w:val="1874824"/>
  </w:num>
  <w:num w:numId="82">
    <w:abstractNumId w:val="1874825"/>
  </w:num>
  <w:num w:numId="83">
    <w:abstractNumId w:val="1874826"/>
  </w:num>
  <w:num w:numId="84">
    <w:abstractNumId w:val="1874827"/>
  </w:num>
  <w:num w:numId="85">
    <w:abstractNumId w:val="1874828"/>
  </w:num>
  <w:num w:numId="86">
    <w:abstractNumId w:val="1874829"/>
  </w:num>
  <w:num w:numId="87">
    <w:abstractNumId w:val="1874830"/>
  </w:num>
  <w:num w:numId="88">
    <w:abstractNumId w:val="1874831"/>
  </w:num>
  <w:num w:numId="89">
    <w:abstractNumId w:val="1874832"/>
  </w:num>
  <w:num w:numId="90">
    <w:abstractNumId w:val="1874833"/>
  </w:num>
  <w:num w:numId="91">
    <w:abstractNumId w:val="1874834"/>
  </w:num>
  <w:num w:numId="92">
    <w:abstractNumId w:val="1874835"/>
  </w:num>
  <w:num w:numId="93">
    <w:abstractNumId w:val="1874836"/>
  </w:num>
  <w:num w:numId="94">
    <w:abstractNumId w:val="1874837"/>
  </w:num>
  <w:num w:numId="95">
    <w:abstractNumId w:val="1874838"/>
  </w:num>
  <w:num w:numId="96">
    <w:abstractNumId w:val="1874839"/>
  </w:num>
  <w:num w:numId="97">
    <w:abstractNumId w:val="1874840"/>
  </w:num>
  <w:num w:numId="98">
    <w:abstractNumId w:val="1874841"/>
  </w:num>
  <w:num w:numId="99">
    <w:abstractNumId w:val="1874842"/>
  </w:num>
  <w:num w:numId="100">
    <w:abstractNumId w:val="1874843"/>
  </w:num>
  <w:num w:numId="101">
    <w:abstractNumId w:val="1874844"/>
  </w:num>
  <w:num w:numId="102">
    <w:abstractNumId w:val="1874845"/>
  </w:num>
  <w:num w:numId="103">
    <w:abstractNumId w:val="1874846"/>
  </w:num>
  <w:num w:numId="104">
    <w:abstractNumId w:val="1874847"/>
  </w:num>
  <w:num w:numId="105">
    <w:abstractNumId w:val="1874848"/>
  </w:num>
  <w:num w:numId="106">
    <w:abstractNumId w:val="1874849"/>
  </w:num>
  <w:num w:numId="107">
    <w:abstractNumId w:val="1874850"/>
  </w:num>
  <w:num w:numId="108">
    <w:abstractNumId w:val="1874851"/>
  </w:num>
  <w:num w:numId="109">
    <w:abstractNumId w:val="1874852"/>
  </w:num>
  <w:num w:numId="110">
    <w:abstractNumId w:val="18748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3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4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5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6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7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8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9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0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1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2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3.xlsx" Type="http://schemas.openxmlformats.org/officeDocument/2006/relationships/package"/><Relationship Id="rId33" Target="media/image15.png" Type="http://schemas.openxmlformats.org/officeDocument/2006/relationships/image"/><Relationship Id="rId34" Target="embeddings/Microsoft_Excel_Worksheet14.xlsx" Type="http://schemas.openxmlformats.org/officeDocument/2006/relationships/package"/><Relationship Id="rId35" Target="media/image16.png" Type="http://schemas.openxmlformats.org/officeDocument/2006/relationships/image"/><Relationship Id="rId36" Target="embeddings/Microsoft_Excel_Worksheet15.xlsx" Type="http://schemas.openxmlformats.org/officeDocument/2006/relationships/package"/><Relationship Id="rId37" Target="media/image17.png" Type="http://schemas.openxmlformats.org/officeDocument/2006/relationships/image"/><Relationship Id="rId38" Target="embeddings/Microsoft_Excel_Worksheet16.xlsx" Type="http://schemas.openxmlformats.org/officeDocument/2006/relationships/package"/><Relationship Id="rId39" Target="media/image18.png" Type="http://schemas.openxmlformats.org/officeDocument/2006/relationships/image"/><Relationship Id="rId4" Target="comments.xml" Type="http://schemas.openxmlformats.org/officeDocument/2006/relationships/comments"/><Relationship Id="rId40" Target="embeddings/Microsoft_Excel_Worksheet17.xlsx" Type="http://schemas.openxmlformats.org/officeDocument/2006/relationships/package"/><Relationship Id="rId41" Target="media/image19.png" Type="http://schemas.openxmlformats.org/officeDocument/2006/relationships/image"/><Relationship Id="rId42" Target="embeddings/Microsoft_Excel_Worksheet18.xlsx" Type="http://schemas.openxmlformats.org/officeDocument/2006/relationships/package"/><Relationship Id="rId43" Target="media/image20.png" Type="http://schemas.openxmlformats.org/officeDocument/2006/relationships/image"/><Relationship Id="rId44" Target="media/image21.png" Type="http://schemas.openxmlformats.org/officeDocument/2006/relationships/image"/><Relationship Id="rId45" Target="embeddings/Microsoft_Excel_Worksheet19.xlsx" Type="http://schemas.openxmlformats.org/officeDocument/2006/relationships/package"/><Relationship Id="rId46" Target="media/image22.png" Type="http://schemas.openxmlformats.org/officeDocument/2006/relationships/image"/><Relationship Id="rId47" Target="embeddings/Microsoft_Excel_Worksheet20.xlsx" Type="http://schemas.openxmlformats.org/officeDocument/2006/relationships/package"/><Relationship Id="rId48" Target="media/image23.png" Type="http://schemas.openxmlformats.org/officeDocument/2006/relationships/image"/><Relationship Id="rId49" Target="media/image24.png" Type="http://schemas.openxmlformats.org/officeDocument/2006/relationships/image"/><Relationship Id="rId5" Target="numbering.xml" Type="http://schemas.openxmlformats.org/officeDocument/2006/relationships/numbering"/><Relationship Id="rId50" Target="embeddings/Microsoft_Excel_Worksheet21.xlsx" Type="http://schemas.openxmlformats.org/officeDocument/2006/relationships/package"/><Relationship Id="rId51" Target="media/image25.png" Type="http://schemas.openxmlformats.org/officeDocument/2006/relationships/image"/><Relationship Id="rId52" Target="media/image26.png" Type="http://schemas.openxmlformats.org/officeDocument/2006/relationships/image"/><Relationship Id="rId53" Target="http://ex.ldmfyh.com/showcase/smartdata/lpinKBjrQorRQljRBrBKqKkqjmjr" TargetMode="External" Type="http://schemas.openxmlformats.org/officeDocument/2006/relationships/hyperlink"/><Relationship Id="rId54" Target="http://ex.ldmfyh.com/showcase/smartdata/xxxxxxxxxxxxxx" TargetMode="External" Type="http://schemas.openxmlformats.org/officeDocument/2006/relationships/hyperlink"/><Relationship Id="rId55" Target="http://ex.ldmfyh.com/showcase/smartdata/lpinKBjrQorRQljRBrBKqKkqjmjr" TargetMode="External" Type="http://schemas.openxmlformats.org/officeDocument/2006/relationships/hyperlink"/><Relationship Id="rId56" Target="media/image27.png" Type="http://schemas.openxmlformats.org/officeDocument/2006/relationships/image"/><Relationship Id="rId57" Target="media/image28.png" Type="http://schemas.openxmlformats.org/officeDocument/2006/relationships/image"/><Relationship Id="rId58" Target="embeddings/Microsoft_Excel_Worksheet22.xlsx" Type="http://schemas.openxmlformats.org/officeDocument/2006/relationships/package"/><Relationship Id="rId59" Target="media/image29.png" Type="http://schemas.openxmlformats.org/officeDocument/2006/relationships/image"/><Relationship Id="rId6" Target="embeddings/Microsoft_Excel_Worksheet1.xlsx" Type="http://schemas.openxmlformats.org/officeDocument/2006/relationships/package"/><Relationship Id="rId60" Target="embeddings/Microsoft_Excel_Worksheet23.xlsx" Type="http://schemas.openxmlformats.org/officeDocument/2006/relationships/package"/><Relationship Id="rId61" Target="media/image30.png" Type="http://schemas.openxmlformats.org/officeDocument/2006/relationships/image"/><Relationship Id="rId62" Target="header1.xml" Type="http://schemas.openxmlformats.org/officeDocument/2006/relationships/header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2026-05-09T03:07:43Z</dcterms:created>
  <dc:creator>Apache POI</dc:creator>
</cp:coreProperties>
</file>