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0"/>
        </w:rPr>
        <w:t>Yan 2023 MC Feature Brainstorm</w:t>
      </w:r>
    </w:p>
    <w:p>
      <w:pPr>
        <w:jc w:val="center"/>
      </w:pPr>
      <w:r>
        <w:rPr>
          <w:i/>
          <w:sz w:val="22"/>
        </w:rPr>
        <w:t>Barebones worksheet for melodic complexity, melodic originality, and degree of melodiousness</w:t>
      </w:r>
    </w:p>
    <w:p>
      <w:pPr>
        <w:jc w:val="center"/>
      </w:pPr>
      <w:r>
        <w:rPr>
          <w:sz w:val="20"/>
        </w:rPr>
        <w:t>Use this page to capture candidate definitions, proxies, ambiguities, and tests.</w:t>
      </w:r>
    </w:p>
    <w:p/>
    <w:p>
      <w:r>
        <w:rPr>
          <w:b/>
          <w:sz w:val="28"/>
        </w:rPr>
        <w:t>1. Melodic Complexity</w:t>
      </w:r>
    </w:p>
    <w:p>
      <w:pPr>
        <w:pStyle w:val="ListBullet"/>
        <w:spacing w:after="0"/>
      </w:pPr>
      <w:r>
        <w:t>Working definition:</w:t>
      </w:r>
    </w:p>
    <w:p>
      <w:pPr>
        <w:pStyle w:val="ListBullet"/>
        <w:spacing w:after="0"/>
      </w:pPr>
      <w:r>
        <w:t>Possible score-native signals:</w:t>
      </w:r>
    </w:p>
    <w:p>
      <w:pPr>
        <w:pStyle w:val="ListBullet"/>
        <w:spacing w:after="0"/>
      </w:pPr>
      <w:r>
        <w:t>Potential proxy / formula family:</w:t>
      </w:r>
    </w:p>
    <w:p>
      <w:pPr>
        <w:pStyle w:val="ListBullet"/>
        <w:spacing w:after="0"/>
      </w:pPr>
      <w:r>
        <w:t>Known ambiguities or missing data: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2592" w:hRule="exact"/>
        </w:trPr>
        <w:tc>
          <w:tcPr>
            <w:tcW w:type="dxa" w:w="9648"/>
            <w:vAlign w:val="center"/>
          </w:tcPr>
          <w:p>
            <w:pPr>
              <w:spacing w:before="0" w:after="0"/>
            </w:pPr>
            <w:r>
              <w:t xml:space="preserve"> </w:t>
            </w:r>
          </w:p>
        </w:tc>
      </w:tr>
    </w:tbl>
    <w:p/>
    <w:p>
      <w:r>
        <w:rPr>
          <w:b/>
          <w:sz w:val="28"/>
        </w:rPr>
        <w:t>2. Melodic Originality</w:t>
      </w:r>
    </w:p>
    <w:p>
      <w:pPr>
        <w:pStyle w:val="ListBullet"/>
        <w:spacing w:after="0"/>
      </w:pPr>
      <w:r>
        <w:t>Working definition:</w:t>
      </w:r>
    </w:p>
    <w:p>
      <w:pPr>
        <w:pStyle w:val="ListBullet"/>
        <w:spacing w:after="0"/>
      </w:pPr>
      <w:r>
        <w:t>Possible reference population or comparison set:</w:t>
      </w:r>
    </w:p>
    <w:p>
      <w:pPr>
        <w:pStyle w:val="ListBullet"/>
        <w:spacing w:after="0"/>
      </w:pPr>
      <w:r>
        <w:t>Possible novelty / rarity signals:</w:t>
      </w:r>
    </w:p>
    <w:p>
      <w:pPr>
        <w:pStyle w:val="ListBullet"/>
        <w:spacing w:after="0"/>
      </w:pPr>
      <w:r>
        <w:t>Notes on normalization or scale: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2592" w:hRule="exact"/>
        </w:trPr>
        <w:tc>
          <w:tcPr>
            <w:tcW w:type="dxa" w:w="9648"/>
            <w:vAlign w:val="center"/>
          </w:tcPr>
          <w:p>
            <w:pPr>
              <w:spacing w:before="0" w:after="0"/>
            </w:pPr>
            <w:r>
              <w:t xml:space="preserve"> </w:t>
            </w:r>
          </w:p>
        </w:tc>
      </w:tr>
    </w:tbl>
    <w:p/>
    <w:p>
      <w:r>
        <w:rPr>
          <w:b/>
          <w:sz w:val="28"/>
        </w:rPr>
        <w:t>3. Degree of Melodiousness</w:t>
      </w:r>
    </w:p>
    <w:p>
      <w:pPr>
        <w:pStyle w:val="ListBullet"/>
        <w:spacing w:after="0"/>
      </w:pPr>
      <w:r>
        <w:t>Working definition:</w:t>
      </w:r>
    </w:p>
    <w:p>
      <w:pPr>
        <w:pStyle w:val="ListBullet"/>
        <w:spacing w:after="0"/>
      </w:pPr>
      <w:r>
        <w:t>Possible musical ingredients:</w:t>
      </w:r>
    </w:p>
    <w:p>
      <w:pPr>
        <w:pStyle w:val="ListBullet"/>
        <w:spacing w:after="0"/>
      </w:pPr>
      <w:r>
        <w:t>Possible listener-facing or score-native proxy:</w:t>
      </w:r>
    </w:p>
    <w:p>
      <w:pPr>
        <w:pStyle w:val="ListBullet"/>
        <w:spacing w:after="0"/>
      </w:pPr>
      <w:r>
        <w:t>Open questions / caveats: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2592" w:hRule="exact"/>
        </w:trPr>
        <w:tc>
          <w:tcPr>
            <w:tcW w:type="dxa" w:w="9648"/>
            <w:vAlign w:val="center"/>
          </w:tcPr>
          <w:p>
            <w:pPr>
              <w:spacing w:before="0" w:after="0"/>
            </w:pPr>
            <w:r>
              <w:t xml:space="preserve"> </w:t>
            </w:r>
          </w:p>
        </w:tc>
      </w:tr>
    </w:tbl>
    <w:p>
      <w:r>
        <w:rPr>
          <w:b/>
          <w:sz w:val="28"/>
        </w:rPr>
        <w:t>Cross-feature notes</w:t>
      </w:r>
    </w:p>
    <w:p>
      <w:pPr>
        <w:pStyle w:val="ListBullet"/>
        <w:spacing w:after="0"/>
      </w:pPr>
      <w:r>
        <w:t>Relationships between the three features:</w:t>
      </w:r>
    </w:p>
    <w:p>
      <w:pPr>
        <w:pStyle w:val="ListBullet"/>
        <w:spacing w:after="0"/>
      </w:pPr>
      <w:r>
        <w:t>Candidate tests / fixtures:</w:t>
      </w:r>
    </w:p>
    <w:p>
      <w:pPr>
        <w:pStyle w:val="ListBullet"/>
        <w:spacing w:after="0"/>
      </w:pPr>
      <w:r>
        <w:t>Questions to resolve before implementation: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2448" w:hRule="exact"/>
        </w:trPr>
        <w:tc>
          <w:tcPr>
            <w:tcW w:type="dxa" w:w="9648"/>
            <w:vAlign w:val="center"/>
          </w:tcPr>
          <w:p>
            <w:r>
              <w:t xml:space="preserve"> 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