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D4AF37"/>
          <w:sz w:val="48"/>
          <w:szCs w:val="48"/>
        </w:rPr>
        <w:t xml:space="preserve">STRUCTR.AI</w:t>
      </w:r>
    </w:p>
    <w:p>
      <w:pPr>
        <w:spacing w:after="100"/>
        <w:jc w:val="center"/>
      </w:pPr>
      <w:r>
        <w:rPr>
          <w:rFonts w:ascii="Arial" w:cs="Arial" w:eastAsia="Arial" w:hAnsi="Arial"/>
          <w:color w:val="1A1A2E"/>
          <w:sz w:val="32"/>
          <w:szCs w:val="32"/>
        </w:rPr>
        <w:t xml:space="preserve">Comprehensive System Audit Report</w:t>
      </w:r>
    </w:p>
    <w:p>
      <w:pPr>
        <w:spacing w:after="100"/>
        <w:jc w:val="center"/>
      </w:pPr>
      <w:r>
        <w:rPr>
          <w:rFonts w:ascii="Arial" w:cs="Arial" w:eastAsia="Arial" w:hAnsi="Arial"/>
          <w:color w:val="666666"/>
          <w:sz w:val="22"/>
          <w:szCs w:val="22"/>
        </w:rPr>
        <w:t xml:space="preserve">Construction Operating System — GC Home Improvement LLC</w:t>
      </w:r>
    </w:p>
    <w:p>
      <w:pPr>
        <w:spacing w:after="400"/>
        <w:jc w:val="center"/>
      </w:pPr>
      <w:r>
        <w:rPr>
          <w:rFonts w:ascii="Arial" w:cs="Arial" w:eastAsia="Arial" w:hAnsi="Arial"/>
          <w:color w:val="999999"/>
          <w:sz w:val="20"/>
          <w:szCs w:val="20"/>
        </w:rPr>
        <w:t xml:space="preserve">March 21, 2026 — Post-Sprint 26 (Pipeline Integration)</w:t>
      </w:r>
    </w:p>
    <w:p>
      <w:pPr>
        <w:pStyle w:val="Heading1"/>
      </w:pPr>
      <w:r>
        <w:t xml:space="preserve">Executive Summary</w:t>
      </w:r>
    </w:p>
    <w:p>
      <w:pPr>
        <w:spacing w:after="200"/>
      </w:pPr>
      <w:r>
        <w:t xml:space="preserve">This audit covers the full Structr.ai codebase after Sprint 26 (Pipeline Integration). The review examined estimate/bundle workflows, pipeline/scope integration, and schema/cross-module consistency across 56+ database tables, 10 domain engines, and 30+ tRPC router procedures. </w:t>
      </w:r>
    </w:p>
    <w:p>
      <w:pPr>
        <w:spacing w:after="200"/>
      </w:pPr>
      <w:r>
        <w:rPr>
          <w:b/>
          <w:bCs/>
        </w:rPr>
        <w:t xml:space="preserve">Summary: </w:t>
      </w:r>
      <w:r>
        <w:t xml:space="preserve">5 CRITICAL issues, 8 SERIOUS issues, and 2 MINOR issues identified. The critical issues involve data integrity risks (dual estimate systems, type mismatches), authentication inconsistencies (ctx.user.openId vs ctx.user.id), and incomplete ORM relations (26 tables missing). No production data loss detected, but several paths could cause silent bugs if left unaddressed.</w:t>
      </w:r>
    </w:p>
    <w:p>
      <w:pPr>
        <w:pStyle w:val="Heading2"/>
      </w:pPr>
      <w:r>
        <w:t xml:space="preserve">Severity Breakdown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3420"/>
        <w:gridCol w:w="3420"/>
        <w:gridCol w:w="3420"/>
        <w:gridCol w:w="3420"/>
      </w:tblGrid>
      <w:tr>
        <w:tc>
          <w:tcPr>
            <w:tcW w:type="dxa" w:w="3420"/>
            <w:tcBorders>
              <w:top w:val="single" w:color="CCCCCC" w:sz="1"/>
              <w:left w:val="single" w:color="CCCCCC" w:sz="1"/>
              <w:bottom w:val="single" w:color="CCCCCC" w:sz="1"/>
              <w:right w:val="single" w:color="CCCCCC" w:sz="1"/>
            </w:tcBorders>
            <w:shd w:fill="CC0000"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CRITICAL: 5</w:t>
            </w:r>
          </w:p>
        </w:tc>
        <w:tc>
          <w:tcPr>
            <w:tcW w:type="dxa" w:w="3420"/>
            <w:tcBorders>
              <w:top w:val="single" w:color="CCCCCC" w:sz="1"/>
              <w:left w:val="single" w:color="CCCCCC" w:sz="1"/>
              <w:bottom w:val="single" w:color="CCCCCC" w:sz="1"/>
              <w:right w:val="single" w:color="CCCCCC" w:sz="1"/>
            </w:tcBorders>
            <w:shd w:fill="CC6600"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SERIOUS: 8</w:t>
            </w:r>
          </w:p>
        </w:tc>
        <w:tc>
          <w:tcPr>
            <w:tcW w:type="dxa" w:w="3420"/>
            <w:tcBorders>
              <w:top w:val="single" w:color="CCCCCC" w:sz="1"/>
              <w:left w:val="single" w:color="CCCCCC" w:sz="1"/>
              <w:bottom w:val="single" w:color="CCCCCC" w:sz="1"/>
              <w:right w:val="single" w:color="CCCCCC" w:sz="1"/>
            </w:tcBorders>
            <w:shd w:fill="666666"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MINOR: 2</w:t>
            </w:r>
          </w:p>
        </w:tc>
        <w:tc>
          <w:tcPr>
            <w:tcW w:type="dxa" w:w="342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center"/>
            </w:pPr>
            <w:r>
              <w:rPr>
                <w:rFonts w:ascii="Arial" w:cs="Arial" w:eastAsia="Arial" w:hAnsi="Arial"/>
                <w:b/>
                <w:bCs/>
                <w:color w:val="D4AF37"/>
                <w:sz w:val="22"/>
                <w:szCs w:val="22"/>
              </w:rPr>
              <w:t xml:space="preserve">TOTAL: 15</w:t>
            </w:r>
          </w:p>
        </w:tc>
      </w:tr>
    </w:tbl>
    <w:p>
      <w:r>
        <w:br w:type="page"/>
      </w:r>
    </w:p>
    <w:p>
      <w:pPr>
        <w:pStyle w:val="Heading1"/>
      </w:pPr>
      <w:r>
        <w:t xml:space="preserve">Detailed Findings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1200"/>
        <w:gridCol w:w="3200"/>
        <w:gridCol w:w="2860"/>
      </w:tblGrid>
      <w:tr>
        <w:tc>
          <w:tcPr>
            <w:tcW w:type="dxa" w:w="1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D4AF37"/>
                <w:sz w:val="16"/>
                <w:szCs w:val="16"/>
              </w:rPr>
              <w:t xml:space="preserve">ID</w:t>
            </w:r>
          </w:p>
        </w:tc>
        <w:tc>
          <w:tcPr>
            <w:tcW w:type="dxa" w:w="11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D4AF37"/>
                <w:sz w:val="16"/>
                <w:szCs w:val="16"/>
              </w:rPr>
              <w:t xml:space="preserve">Severity</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D4AF37"/>
                <w:sz w:val="16"/>
                <w:szCs w:val="16"/>
              </w:rPr>
              <w:t xml:space="preserve">Domain</w:t>
            </w:r>
          </w:p>
        </w:tc>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D4AF37"/>
                <w:sz w:val="16"/>
                <w:szCs w:val="16"/>
              </w:rPr>
              <w:t xml:space="preserve">Finding</w:t>
            </w:r>
          </w:p>
        </w:tc>
        <w:tc>
          <w:tcPr>
            <w:tcW w:type="dxa" w:w="2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D4AF37"/>
                <w:sz w:val="16"/>
                <w:szCs w:val="16"/>
              </w:rPr>
              <w:t xml:space="preserve">Recommended Fix</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18"/>
                <w:szCs w:val="18"/>
              </w:rPr>
              <w:t xml:space="preserve">EST-01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18"/>
                <w:szCs w:val="18"/>
              </w:rPr>
              <w:t xml:space="preserve">CRITICAL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Estimate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Dual estimate draft creation systems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Remove legacy createEstimateDraft from db.ts, update all imports to use estimate-db.ts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18"/>
                <w:szCs w:val="18"/>
              </w:rPr>
              <w:t xml:space="preserve">EST-02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18"/>
                <w:szCs w:val="18"/>
              </w:rPr>
              <w:t xml:space="preserve">CRITICAL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Estimate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Type mismatch in EstimateDraftPersistPayload</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Align EstimateDraftPersistPayload types with schema decimal columns, add runtime validation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18"/>
                <w:szCs w:val="18"/>
              </w:rPr>
              <w:t xml:space="preserve">EST-03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18"/>
                <w:szCs w:val="18"/>
              </w:rPr>
              <w:t xml:space="preserve">CRITICAL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Estimate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Missing validation for empty assembly list</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Add guard: throw if assemblies.length === 0</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6600"/>
                <w:sz w:val="18"/>
                <w:szCs w:val="18"/>
              </w:rPr>
              <w:t xml:space="preserve">EST-04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6600"/>
                <w:sz w:val="18"/>
                <w:szCs w:val="18"/>
              </w:rPr>
              <w:t xml:space="preserve">SERIOUS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Estimate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Channel enum inconsistency</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Standardize channel enum across schema, taxonomy, and all routers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6600"/>
                <w:sz w:val="18"/>
                <w:szCs w:val="18"/>
              </w:rPr>
              <w:t xml:space="preserve">EST-05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6600"/>
                <w:sz w:val="18"/>
                <w:szCs w:val="18"/>
              </w:rPr>
              <w:t xml:space="preserve">SERIOUS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Estimate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Status enum mismatch in estimate workflow</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Define single source-of-truth status enum in taxonomy.ts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6600"/>
                <w:sz w:val="18"/>
                <w:szCs w:val="18"/>
              </w:rPr>
              <w:t xml:space="preserve">BUN-01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6600"/>
                <w:sz w:val="18"/>
                <w:szCs w:val="18"/>
              </w:rPr>
              <w:t xml:space="preserve">SERIOUS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Bundle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Broken getDb() chaining in bundle-router.ts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Refactor to const db = await getDb(); if (!db) throw; db.select()...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6600"/>
                <w:sz w:val="18"/>
                <w:szCs w:val="18"/>
              </w:rPr>
              <w:t xml:space="preserve">BUN-02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6600"/>
                <w:sz w:val="18"/>
                <w:szCs w:val="18"/>
              </w:rPr>
              <w:t xml:space="preserve">SERIOUS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Bundle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Unused imports in routers.ts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Remove unused imports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18"/>
                <w:szCs w:val="18"/>
              </w:rPr>
              <w:t xml:space="preserve">PIP-01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18"/>
                <w:szCs w:val="18"/>
              </w:rPr>
              <w:t xml:space="preserve">CRITICAL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Pipeline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ctx.user.openId vs ctx.user.id inconsistency</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Standardize to ctx.user.id across all routers, or verify both exist on user object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6600"/>
                <w:sz w:val="18"/>
                <w:szCs w:val="18"/>
              </w:rPr>
              <w:t xml:space="preserve">PIP-02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6600"/>
                <w:sz w:val="18"/>
                <w:szCs w:val="18"/>
              </w:rPr>
              <w:t xml:space="preserve">SERIOUS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Pipeline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Duplicate lead conversion paths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Remove pipeline.convertLead, keep only lead.convertToProject as single entry point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6600"/>
                <w:sz w:val="18"/>
                <w:szCs w:val="18"/>
              </w:rPr>
              <w:t xml:space="preserve">PIP-03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6600"/>
                <w:sz w:val="18"/>
                <w:szCs w:val="18"/>
              </w:rPr>
              <w:t xml:space="preserve">SERIOUS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Pipeline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Dead code: convertLeadToProject in lead-db.ts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Remove convertLeadToProject from lead-db.ts and its imports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18"/>
                <w:szCs w:val="18"/>
              </w:rPr>
              <w:t xml:space="preserve">SCH-01</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18"/>
                <w:szCs w:val="18"/>
              </w:rPr>
              <w:t xml:space="preserve">CRITICAL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Schema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Channel enum 'residential' not in taxonomy</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Add 'residential' to taxonomy or remove from schema, ensure all normalization paths agree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18"/>
                <w:szCs w:val="18"/>
              </w:rPr>
              <w:t xml:space="preserve">SCH-02</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0000"/>
                <w:sz w:val="18"/>
                <w:szCs w:val="18"/>
              </w:rPr>
              <w:t xml:space="preserve">CRITICAL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Schema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26 tables with FKs have NO Drizzle relations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Add relations for all 26 missing tables in relations.ts (can be done incrementally)</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6600"/>
                <w:sz w:val="18"/>
                <w:szCs w:val="18"/>
              </w:rPr>
              <w:t xml:space="preserve">SCH-03</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6600"/>
                <w:sz w:val="18"/>
                <w:szCs w:val="18"/>
              </w:rPr>
              <w:t xml:space="preserve">SERIOUS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Schema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9+ publicProcedure endpoints on business data</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Convert to protectedProcedure for all business data; keep only auth.me and auth.logout as public</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6600"/>
                <w:sz w:val="18"/>
                <w:szCs w:val="18"/>
              </w:rPr>
              <w:t xml:space="preserve">SCH-04</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6600"/>
                <w:sz w:val="18"/>
                <w:szCs w:val="18"/>
              </w:rPr>
              <w:t xml:space="preserve">SERIOUS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Schema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12+ user FK columns without relations</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Add user FK relations in relations.ts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6600"/>
                <w:sz w:val="18"/>
                <w:szCs w:val="18"/>
              </w:rPr>
              <w:t xml:space="preserve">SCH-05</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CC6600"/>
                <w:sz w:val="18"/>
                <w:szCs w:val="18"/>
              </w:rPr>
              <w:t xml:space="preserve">SERIOUS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Schema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Dual role storage in users table</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Deprecate enum column, use only FK + RBAC table</w:t>
            </w:r>
          </w:p>
        </w:tc>
      </w:tr>
    </w:tbl>
    <w:p>
      <w:r>
        <w:br w:type="page"/>
      </w:r>
    </w:p>
    <w:p>
      <w:pPr>
        <w:pStyle w:val="Heading1"/>
      </w:pPr>
      <w:r>
        <w:t xml:space="preserve">Domain Analysis: Estimate &amp; Bundle</w:t>
      </w:r>
    </w:p>
    <w:p>
      <w:pPr>
        <w:spacing w:after="200"/>
      </w:pPr>
      <w:r>
        <w:t xml:space="preserve">The estimate workflow has the highest density of issues. Two parallel draft creation systems exist: the legacy </w:t>
      </w:r>
      <w:r>
        <w:rPr>
          <w:i/>
          <w:iCs/>
        </w:rPr>
        <w:t xml:space="preserve">createEstimateDraft()</w:t>
      </w:r>
      <w:r>
        <w:t xml:space="preserve"> in db.ts and the current </w:t>
      </w:r>
      <w:r>
        <w:rPr>
          <w:i/>
          <w:iCs/>
        </w:rPr>
        <w:t xml:space="preserve">createEstimateDraftFromCalculator()</w:t>
      </w:r>
      <w:r>
        <w:t xml:space="preserve"> in estimate-db.ts. Both write to the same table, but the legacy path lacks the validation, audit logging, and Profit Shield enforcement of the newer system. Additionally, the </w:t>
      </w:r>
      <w:r>
        <w:rPr>
          <w:i/>
          <w:iCs/>
        </w:rPr>
        <w:t xml:space="preserve">EstimateDraftPersistPayload</w:t>
      </w:r>
      <w:r>
        <w:t xml:space="preserve"> interface uses string types for fields that the schema defines as decimal, creating a silent type coercion risk.</w:t>
      </w:r>
    </w:p>
    <w:p>
      <w:pPr>
        <w:spacing w:after="200"/>
      </w:pPr>
      <w:r>
        <w:t xml:space="preserve">The bundle-router.ts has a fragile async pattern at line 121 where </w:t>
      </w:r>
      <w:r>
        <w:rPr>
          <w:i/>
          <w:iCs/>
        </w:rPr>
        <w:t xml:space="preserve">getDb().then(db =&gt; db?.select()...)</w:t>
      </w:r>
      <w:r>
        <w:t xml:space="preserve"> chains optional chaining on the database connection inside a .then() callback. If getDb() resolves to null, the optional chain silently returns undefined instead of throwing, masking connection failures.</w:t>
      </w:r>
    </w:p>
    <w:p>
      <w:pPr>
        <w:pStyle w:val="Heading1"/>
      </w:pPr>
      <w:r>
        <w:t xml:space="preserve">Domain Analysis: Pipeline &amp; Scope</w:t>
      </w:r>
    </w:p>
    <w:p>
      <w:pPr>
        <w:spacing w:after="200"/>
      </w:pPr>
      <w:r>
        <w:t xml:space="preserve">The pipeline integration (Sprint 26) is functionally correct but has two architectural issues. First, </w:t>
      </w:r>
      <w:r>
        <w:rPr>
          <w:i/>
          <w:iCs/>
        </w:rPr>
        <w:t xml:space="preserve">orchestrateLeadConversion()</w:t>
      </w:r>
      <w:r>
        <w:t xml:space="preserve"> is callable from both lead-router.convertToProject and pipeline-router.convertLead, creating duplicate entry points for the same atomic transaction. Second, geo-override-router.ts consistently uses </w:t>
      </w:r>
      <w:r>
        <w:rPr>
          <w:i/>
          <w:iCs/>
        </w:rPr>
        <w:t xml:space="preserve">ctx.user.openId</w:t>
      </w:r>
      <w:r>
        <w:t xml:space="preserve"> (8 locations) while every other router uses </w:t>
      </w:r>
      <w:r>
        <w:rPr>
          <w:i/>
          <w:iCs/>
        </w:rPr>
        <w:t xml:space="preserve">ctx.user.id</w:t>
      </w:r>
      <w:r>
        <w:t xml:space="preserve">. If the auth middleware only populates one property, the geo-override router will silently pass undefined as the operator ID.</w:t>
      </w:r>
    </w:p>
    <w:p>
      <w:pPr>
        <w:pStyle w:val="Heading1"/>
      </w:pPr>
      <w:r>
        <w:t xml:space="preserve">Domain Analysis: Schema &amp; Cross-Module</w:t>
      </w:r>
    </w:p>
    <w:p>
      <w:pPr>
        <w:spacing w:after="200"/>
      </w:pPr>
      <w:r>
        <w:t xml:space="preserve">The most impactful structural issue is the incomplete Drizzle relations layer. Of 54 tables with foreign key columns, only 16 have corresponding relation definitions in relations.ts. The 26 missing tables include critical operational tables like auditLogs, intakeForms, projectActuals, reviewActions, and workflowRuns. Without relations, these tables cannot use Drizzle's relational query API, forcing raw SQL joins.</w:t>
      </w:r>
    </w:p>
    <w:p>
      <w:pPr>
        <w:spacing w:after="200"/>
      </w:pPr>
      <w:r>
        <w:t xml:space="preserve">The channel enum inconsistency spans three layers: the schema accepts 'residential', the taxonomy canonical definition omits it, and normalizeChannel() converts 'residential' to 'direct'. This creates a situation where data written with 'residential' is valid per schema but may be silently normalized to 'direct' in some code paths and not others.</w:t>
      </w:r>
    </w:p>
    <w:p>
      <w:pPr>
        <w:spacing w:after="200"/>
      </w:pPr>
      <w:r>
        <w:t xml:space="preserve">Security-wise, 35+ publicProcedure endpoints expose business data (assemblies, pricing, catalog) without authentication. While read-only, these endpoints expose proprietary pricing structures and cost data that should require authentication.</w:t>
      </w:r>
    </w:p>
    <w:p>
      <w:r>
        <w:br w:type="page"/>
      </w:r>
    </w:p>
    <w:p>
      <w:pPr>
        <w:pStyle w:val="Heading1"/>
      </w:pPr>
      <w:r>
        <w:t xml:space="preserve">Fix Priority &amp; Execution Plan</w:t>
      </w:r>
    </w:p>
    <w:p>
      <w:pPr>
        <w:pStyle w:val="Heading2"/>
      </w:pPr>
      <w:r>
        <w:rPr>
          <w:color w:val="CC0000"/>
        </w:rPr>
        <w:t xml:space="preserve">Priority 1 — Critical (Sprint Hotfix)</w:t>
      </w:r>
    </w:p>
    <w:p>
      <w:pPr>
        <w:pStyle w:val="ListParagraph"/>
        <w:numPr>
          <w:ilvl w:val="0"/>
          <w:numId w:val="2"/>
        </w:numPr>
        <w:spacing w:after="80"/>
      </w:pPr>
      <w:r>
        <w:rPr>
          <w:b/>
          <w:bCs/>
        </w:rPr>
        <w:t xml:space="preserve">PIP-01: </w:t>
      </w:r>
      <w:r>
        <w:t xml:space="preserve">Standardize ctx.user.openId to ctx.user.id in geo-override-router.ts (8 replacements)</w:t>
      </w:r>
    </w:p>
    <w:p>
      <w:pPr>
        <w:pStyle w:val="ListParagraph"/>
        <w:numPr>
          <w:ilvl w:val="0"/>
          <w:numId w:val="2"/>
        </w:numPr>
        <w:spacing w:after="80"/>
      </w:pPr>
      <w:r>
        <w:rPr>
          <w:b/>
          <w:bCs/>
        </w:rPr>
        <w:t xml:space="preserve">EST-01: </w:t>
      </w:r>
      <w:r>
        <w:t xml:space="preserve">Remove legacy createEstimateDraft from db.ts, redirect all callers to estimate-db.ts</w:t>
      </w:r>
    </w:p>
    <w:p>
      <w:pPr>
        <w:pStyle w:val="ListParagraph"/>
        <w:numPr>
          <w:ilvl w:val="0"/>
          <w:numId w:val="2"/>
        </w:numPr>
        <w:spacing w:after="80"/>
      </w:pPr>
      <w:r>
        <w:rPr>
          <w:b/>
          <w:bCs/>
        </w:rPr>
        <w:t xml:space="preserve">EST-02: </w:t>
      </w:r>
      <w:r>
        <w:t xml:space="preserve">Align EstimateDraftPersistPayload types with schema decimal columns</w:t>
      </w:r>
    </w:p>
    <w:p>
      <w:pPr>
        <w:pStyle w:val="ListParagraph"/>
        <w:numPr>
          <w:ilvl w:val="0"/>
          <w:numId w:val="2"/>
        </w:numPr>
        <w:spacing w:after="80"/>
      </w:pPr>
      <w:r>
        <w:rPr>
          <w:b/>
          <w:bCs/>
        </w:rPr>
        <w:t xml:space="preserve">EST-03: </w:t>
      </w:r>
      <w:r>
        <w:t xml:space="preserve">Add empty assembly guard in transformBatchToEstimateDraft</w:t>
      </w:r>
    </w:p>
    <w:p>
      <w:pPr>
        <w:pStyle w:val="ListParagraph"/>
        <w:numPr>
          <w:ilvl w:val="0"/>
          <w:numId w:val="2"/>
        </w:numPr>
        <w:spacing w:after="200"/>
      </w:pPr>
      <w:r>
        <w:rPr>
          <w:b/>
          <w:bCs/>
        </w:rPr>
        <w:t xml:space="preserve">SCH-01: </w:t>
      </w:r>
      <w:r>
        <w:t xml:space="preserve">Standardize channel enum across schema/taxonomy/normalization</w:t>
      </w:r>
    </w:p>
    <w:p>
      <w:pPr>
        <w:pStyle w:val="Heading2"/>
      </w:pPr>
      <w:r>
        <w:rPr>
          <w:color w:val="CC6600"/>
        </w:rPr>
        <w:t xml:space="preserve">Priority 2 — Serious (Next Sprint)</w:t>
      </w:r>
    </w:p>
    <w:p>
      <w:pPr>
        <w:pStyle w:val="ListParagraph"/>
        <w:numPr>
          <w:ilvl w:val="0"/>
          <w:numId w:val="2"/>
        </w:numPr>
        <w:spacing w:after="80"/>
      </w:pPr>
      <w:r>
        <w:rPr>
          <w:b/>
          <w:bCs/>
        </w:rPr>
        <w:t xml:space="preserve">PIP-02/03: </w:t>
      </w:r>
      <w:r>
        <w:t xml:space="preserve">Remove duplicate convertLead in pipeline-router + dead code in lead-db.ts</w:t>
      </w:r>
    </w:p>
    <w:p>
      <w:pPr>
        <w:pStyle w:val="ListParagraph"/>
        <w:numPr>
          <w:ilvl w:val="0"/>
          <w:numId w:val="2"/>
        </w:numPr>
        <w:spacing w:after="80"/>
      </w:pPr>
      <w:r>
        <w:rPr>
          <w:b/>
          <w:bCs/>
        </w:rPr>
        <w:t xml:space="preserve">BUN-01: </w:t>
      </w:r>
      <w:r>
        <w:t xml:space="preserve">Refactor getDb() chaining in bundle-router.ts to proper await pattern</w:t>
      </w:r>
    </w:p>
    <w:p>
      <w:pPr>
        <w:pStyle w:val="ListParagraph"/>
        <w:numPr>
          <w:ilvl w:val="0"/>
          <w:numId w:val="2"/>
        </w:numPr>
        <w:spacing w:after="80"/>
      </w:pPr>
      <w:r>
        <w:rPr>
          <w:b/>
          <w:bCs/>
        </w:rPr>
        <w:t xml:space="preserve">EST-04/05: </w:t>
      </w:r>
      <w:r>
        <w:t xml:space="preserve">Unify channel and status enums across all layers</w:t>
      </w:r>
    </w:p>
    <w:p>
      <w:pPr>
        <w:pStyle w:val="ListParagraph"/>
        <w:numPr>
          <w:ilvl w:val="0"/>
          <w:numId w:val="2"/>
        </w:numPr>
        <w:spacing w:after="80"/>
      </w:pPr>
      <w:r>
        <w:rPr>
          <w:b/>
          <w:bCs/>
        </w:rPr>
        <w:t xml:space="preserve">SCH-03: </w:t>
      </w:r>
      <w:r>
        <w:t xml:space="preserve">Convert publicProcedure endpoints to protectedProcedure</w:t>
      </w:r>
    </w:p>
    <w:p>
      <w:pPr>
        <w:pStyle w:val="ListParagraph"/>
        <w:numPr>
          <w:ilvl w:val="0"/>
          <w:numId w:val="2"/>
        </w:numPr>
        <w:spacing w:after="200"/>
      </w:pPr>
      <w:r>
        <w:rPr>
          <w:b/>
          <w:bCs/>
        </w:rPr>
        <w:t xml:space="preserve">SCH-05: </w:t>
      </w:r>
      <w:r>
        <w:t xml:space="preserve">Resolve dual role storage (enum vs FK)</w:t>
      </w:r>
    </w:p>
    <w:p>
      <w:pPr>
        <w:pStyle w:val="Heading2"/>
      </w:pPr>
      <w:r>
        <w:rPr>
          <w:color w:val="666666"/>
        </w:rPr>
        <w:t xml:space="preserve">Priority 3 — Structural (Backlog)</w:t>
      </w:r>
    </w:p>
    <w:p>
      <w:pPr>
        <w:pStyle w:val="ListParagraph"/>
        <w:numPr>
          <w:ilvl w:val="0"/>
          <w:numId w:val="2"/>
        </w:numPr>
        <w:spacing w:after="80"/>
      </w:pPr>
      <w:r>
        <w:rPr>
          <w:b/>
          <w:bCs/>
        </w:rPr>
        <w:t xml:space="preserve">SCH-02: </w:t>
      </w:r>
      <w:r>
        <w:t xml:space="preserve">Add Drizzle relations for 26 missing tables (can be done incrementally per sprint)</w:t>
      </w:r>
    </w:p>
    <w:p>
      <w:pPr>
        <w:pStyle w:val="ListParagraph"/>
        <w:numPr>
          <w:ilvl w:val="0"/>
          <w:numId w:val="2"/>
        </w:numPr>
        <w:spacing w:after="80"/>
      </w:pPr>
      <w:r>
        <w:rPr>
          <w:b/>
          <w:bCs/>
        </w:rPr>
        <w:t xml:space="preserve">SCH-04: </w:t>
      </w:r>
      <w:r>
        <w:t xml:space="preserve">Add user FK relations for createdBy/updatedBy/assignedTo columns</w:t>
      </w:r>
    </w:p>
    <w:p>
      <w:pPr>
        <w:pStyle w:val="ListParagraph"/>
        <w:numPr>
          <w:ilvl w:val="0"/>
          <w:numId w:val="2"/>
        </w:numPr>
        <w:spacing w:after="80"/>
      </w:pPr>
      <w:r>
        <w:rPr>
          <w:b/>
          <w:bCs/>
        </w:rPr>
        <w:t xml:space="preserve">BUN-02: </w:t>
      </w:r>
      <w:r>
        <w:t xml:space="preserve">Clean up unused imports in routers.ts</w:t>
      </w:r>
    </w:p>
    <w:p>
      <w:r>
        <w:br w:type="page"/>
      </w:r>
    </w:p>
    <w:p>
      <w:pPr>
        <w:pStyle w:val="Heading1"/>
      </w:pPr>
      <w:r>
        <w:t xml:space="preserve">System Health Metrics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gridCol w:w="4560"/>
      </w:tblGrid>
      <w:tr>
        <w:tc>
          <w:tcPr>
            <w:tcW w:type="dxa" w:w="4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D4AF37"/>
                <w:sz w:val="20"/>
                <w:szCs w:val="20"/>
              </w:rPr>
              <w:t xml:space="preserve">Metric</w:t>
            </w:r>
          </w:p>
        </w:tc>
        <w:tc>
          <w:tcPr>
            <w:tcW w:type="dxa" w:w="4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D4AF37"/>
                <w:sz w:val="20"/>
                <w:szCs w:val="20"/>
              </w:rPr>
              <w:t xml:space="preserve">Current</w:t>
            </w:r>
          </w:p>
        </w:tc>
        <w:tc>
          <w:tcPr>
            <w:tcW w:type="dxa" w:w="4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D4AF37"/>
                <w:sz w:val="20"/>
                <w:szCs w:val="20"/>
              </w:rPr>
              <w:t xml:space="preserve">Target</w:t>
            </w:r>
          </w:p>
        </w:tc>
      </w:tr>
      <w:tr>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Database Tables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56+</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56+ (no new tables needed)</w:t>
            </w:r>
          </w:p>
        </w:tc>
      </w:tr>
      <w:tr>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Drizzle Relations Coverage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16/54 (30%)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54/54 (100%)</w:t>
            </w:r>
          </w:p>
        </w:tc>
      </w:tr>
      <w:tr>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Test Count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2000+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2000+ (0 regressions)</w:t>
            </w:r>
          </w:p>
        </w:tc>
      </w:tr>
      <w:tr>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Domain Engines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10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10 (no new engines)</w:t>
            </w:r>
          </w:p>
        </w:tc>
      </w:tr>
      <w:tr>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TypeScript Errors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0</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0</w:t>
            </w:r>
          </w:p>
        </w:tc>
      </w:tr>
      <w:tr>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publicProcedure Endpoints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35+</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2 (auth.me, auth.logout)</w:t>
            </w:r>
          </w:p>
        </w:tc>
      </w:tr>
      <w:tr>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Dead Code Functions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2</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0</w:t>
            </w:r>
          </w:p>
        </w:tc>
      </w:tr>
      <w:tr>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Duplicate Entry Points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1 (convertLead)</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FFFFFF"/>
                <w:sz w:val="18"/>
                <w:szCs w:val="18"/>
              </w:rPr>
              <w:t xml:space="preserve">0</w:t>
            </w:r>
          </w:p>
        </w:tc>
      </w:tr>
    </w:tbl>
    <w:p>
      <w:pPr>
        <w:spacing w:before="600"/>
      </w:pPr>
    </w:p>
    <w:p>
      <w:pPr>
        <w:pBdr>
          <w:top w:val="single" w:color="D4AF37" w:sz="2" w:space="8"/>
        </w:pBdr>
        <w:spacing w:before="200"/>
      </w:pPr>
      <w:r>
        <w:rPr>
          <w:rFonts w:ascii="Arial" w:cs="Arial" w:eastAsia="Arial" w:hAnsi="Arial"/>
          <w:color w:val="666666"/>
          <w:sz w:val="20"/>
          <w:szCs w:val="20"/>
        </w:rPr>
        <w:t xml:space="preserve">Audit conducted by: </w:t>
      </w:r>
      <w:r>
        <w:rPr>
          <w:rFonts w:ascii="Arial" w:cs="Arial" w:eastAsia="Arial" w:hAnsi="Arial"/>
          <w:b/>
          <w:bCs/>
          <w:sz w:val="20"/>
          <w:szCs w:val="20"/>
        </w:rPr>
        <w:t xml:space="preserve">Claude (Chief Architect) — Cowork Mode</w:t>
      </w:r>
    </w:p>
    <w:p>
      <w:r>
        <w:rPr>
          <w:rFonts w:ascii="Arial" w:cs="Arial" w:eastAsia="Arial" w:hAnsi="Arial"/>
          <w:color w:val="666666"/>
          <w:sz w:val="18"/>
          <w:szCs w:val="18"/>
        </w:rPr>
        <w:t xml:space="preserve">Date: March 21, 2026 | Sprint: Post-26 | Executor: VS Code + Cline</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2" w:space="4"/>
      </w:pBdr>
    </w:pPr>
    <w:r>
      <w:rPr>
        <w:rFonts w:ascii="Arial" w:cs="Arial" w:eastAsia="Arial" w:hAnsi="Arial"/>
        <w:color w:val="999999"/>
        <w:sz w:val="16"/>
        <w:szCs w:val="16"/>
      </w:rPr>
      <w:t xml:space="preserve">STRUCTR.AI — System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D4AF37"/>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2026-03-21T20:34:42.810Z</dcterms:created>
  <dcterms:modified xsi:type="dcterms:W3CDTF">2026-03-21T20:34:42.811Z</dcterms:modified>
</cp:coreProperties>
</file>

<file path=docProps/custom.xml><?xml version="1.0" encoding="utf-8"?>
<Properties xmlns="http://schemas.openxmlformats.org/officeDocument/2006/custom-properties" xmlns:vt="http://schemas.openxmlformats.org/officeDocument/2006/docPropsVTypes"/>
</file>