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1A1A2E"/>
          <w:sz w:val="44"/>
        </w:rPr>
        <w:t>王辰宇</w:t>
      </w:r>
    </w:p>
    <w:p>
      <w:pPr>
        <w:spacing w:after="240"/>
        <w:jc w:val="center"/>
      </w:pPr>
      <w:r>
        <w:rPr>
          <w:color w:val="666666"/>
          <w:sz w:val="20"/>
        </w:rPr>
        <w:t>电话: 13797390580</w:t>
      </w:r>
      <w:r>
        <w:rPr>
          <w:color w:val="666666"/>
        </w:rPr>
        <w:t xml:space="preserve"> | </w:t>
      </w:r>
      <w:r>
        <w:rPr>
          <w:color w:val="666666"/>
          <w:sz w:val="20"/>
        </w:rPr>
        <w:t>邮箱: 2040188027@qq.com</w:t>
      </w:r>
      <w:r>
        <w:rPr>
          <w:color w:val="666666"/>
        </w:rPr>
        <w:t xml:space="preserve"> | </w:t>
      </w:r>
      <w:r>
        <w:rPr>
          <w:color w:val="666666"/>
          <w:sz w:val="20"/>
        </w:rPr>
        <w:t>GitHub: [项目已开源，面试时提供远程查阅]</w:t>
      </w:r>
    </w:p>
    <w:p>
      <w:pPr>
        <w:spacing w:before="240" w:after="120"/>
        <w:pBdr>
          <w:bottom w:val="single" w:sz="4" w:space="1" w:color="1a1a2e"/>
        </w:pBdr>
      </w:pPr>
      <w:r>
        <w:rPr>
          <w:b/>
          <w:color w:val="1A1A2E"/>
          <w:sz w:val="24"/>
        </w:rPr>
        <w:t>EDUCATION</w:t>
      </w:r>
    </w:p>
    <w:p>
      <w:r>
        <w:rPr>
          <w:b/>
          <w:sz w:val="22"/>
        </w:rPr>
        <w:t>武昌首义学院</w:t>
      </w:r>
      <w:r>
        <w:rPr>
          <w:sz w:val="20"/>
        </w:rPr>
        <w:t xml:space="preserve"> — 计算机科学与技术（华为云班） | 本科在读</w:t>
      </w:r>
    </w:p>
    <w:p>
      <w:pPr>
        <w:spacing w:after="80"/>
      </w:pPr>
      <w:r>
        <w:rPr>
          <w:i/>
          <w:color w:val="666666"/>
          <w:sz w:val="20"/>
        </w:rPr>
        <w:t>2023.09 - 2027.06</w:t>
      </w:r>
    </w:p>
    <w:p>
      <w:pPr>
        <w:spacing w:before="240" w:after="120"/>
        <w:pBdr>
          <w:bottom w:val="single" w:sz="4" w:space="1" w:color="1a1a2e"/>
        </w:pBdr>
      </w:pPr>
      <w:r>
        <w:rPr>
          <w:b/>
          <w:color w:val="1A1A2E"/>
          <w:sz w:val="24"/>
        </w:rPr>
        <w:t>TECHNICAL SKILLS</w:t>
      </w:r>
    </w:p>
    <w:p>
      <w:pPr>
        <w:spacing w:after="40"/>
      </w:pPr>
      <w:r>
        <w:rPr>
          <w:b/>
          <w:sz w:val="20"/>
        </w:rPr>
        <w:t xml:space="preserve">AI 后端与并发: </w:t>
      </w:r>
      <w:r>
        <w:rPr>
          <w:sz w:val="20"/>
        </w:rPr>
        <w:t>Python asyncio 非阻塞编程, 协程并发与线程池隔离调优, HTTP SSE 流式传输, TCP 背压机制</w:t>
      </w:r>
    </w:p>
    <w:p>
      <w:pPr>
        <w:spacing w:after="40"/>
      </w:pPr>
      <w:r>
        <w:rPr>
          <w:b/>
          <w:sz w:val="20"/>
        </w:rPr>
        <w:t xml:space="preserve">RAG 与检索优化: </w:t>
      </w:r>
      <w:r>
        <w:rPr>
          <w:sz w:val="20"/>
        </w:rPr>
        <w:t>双阶段混合召回 (Dense/Sparse), RRF 倒数排名融合, Cross-Encoder 精排, 向量语义缓存 (VSS)</w:t>
      </w:r>
    </w:p>
    <w:p>
      <w:pPr>
        <w:spacing w:after="40"/>
      </w:pPr>
      <w:r>
        <w:rPr>
          <w:b/>
          <w:sz w:val="20"/>
        </w:rPr>
        <w:t xml:space="preserve">Agent 与智能体: </w:t>
      </w:r>
      <w:r>
        <w:rPr>
          <w:sz w:val="20"/>
        </w:rPr>
        <w:t>状态机 (FSM) 架构, ReAct 确定性运行时, Tool Calling 机制, 任务规划与迭代控制</w:t>
      </w:r>
    </w:p>
    <w:p>
      <w:pPr>
        <w:spacing w:after="40"/>
      </w:pPr>
      <w:r>
        <w:rPr>
          <w:b/>
          <w:sz w:val="20"/>
        </w:rPr>
        <w:t xml:space="preserve">文档解析与 ETL: </w:t>
      </w:r>
      <w:r>
        <w:rPr>
          <w:sz w:val="20"/>
        </w:rPr>
        <w:t>多模态文档解析, 长上下文切分策略, 表格防断裂机制, VLM 图像语义提取</w:t>
      </w:r>
    </w:p>
    <w:p>
      <w:pPr>
        <w:spacing w:after="40"/>
      </w:pPr>
      <w:r>
        <w:rPr>
          <w:b/>
          <w:sz w:val="20"/>
        </w:rPr>
        <w:t xml:space="preserve">云原生与中间件: </w:t>
      </w:r>
      <w:r>
        <w:rPr>
          <w:sz w:val="20"/>
        </w:rPr>
        <w:t>FastAPI, Redis / Qdrant / Neo4j, Celery 分布式调度, Docker / MinIO</w:t>
      </w:r>
    </w:p>
    <w:p>
      <w:r>
        <w:rPr>
          <w:b/>
          <w:sz w:val="22"/>
        </w:rPr>
        <w:t>KGateway - 企业级混合多模态 Agent 知识库网关</w:t>
      </w:r>
      <w:r>
        <w:rPr>
          <w:sz w:val="20"/>
        </w:rPr>
        <w:t xml:space="preserve"> | </w:t>
      </w:r>
      <w:r>
        <w:rPr>
          <w:sz w:val="20"/>
        </w:rPr>
        <w:t>AI 后端研发</w:t>
      </w:r>
    </w:p>
    <w:p>
      <w:pPr>
        <w:spacing w:before="0" w:after="80"/>
        <w:jc w:val="right"/>
      </w:pPr>
      <w:r>
        <w:rPr>
          <w:i/>
          <w:color w:val="666666"/>
          <w:sz w:val="20"/>
        </w:rPr>
        <w:t>2026.04 - 2026.05</w:t>
      </w:r>
    </w:p>
    <w:p>
      <w:pPr>
        <w:spacing w:after="80"/>
      </w:pPr>
      <w:r>
        <w:rPr>
          <w:i/>
          <w:color w:val="555555"/>
          <w:sz w:val="20"/>
        </w:rPr>
        <w:t>面向企业大模型落地场景的 AI 基础设施网关，基于 FastAPI 构建流式异步管道，解决长尾延迟、Token 成本高及多租户隔离问题。</w:t>
      </w:r>
    </w:p>
    <w:p>
      <w:pPr>
        <w:spacing w:after="80"/>
      </w:pPr>
      <w:r>
        <w:rPr>
          <w:b/>
          <w:sz w:val="18"/>
        </w:rPr>
        <w:t xml:space="preserve">Tech Stack: </w:t>
      </w:r>
      <w:r>
        <w:rPr>
          <w:color w:val="555555"/>
          <w:sz w:val="18"/>
        </w:rPr>
        <w:t>FastAPI, Qdrant, Redis, Neo4j, BGE-Reranker, LangFuse, Locust</w:t>
      </w:r>
    </w:p>
    <w:p>
      <w:pPr>
        <w:pStyle w:val="ListBullet"/>
        <w:spacing w:after="40"/>
      </w:pPr>
      <w:r>
        <w:rPr>
          <w:sz w:val="20"/>
        </w:rPr>
        <w:t>设计 HTTP SSE 双向解耦流式网关，实现「状态流 + 文本流」架构；基于 asyncio.wait(FIRST_COMPLETED) 实现双路竞速守护机制，在模型思考期维持 200ms 高频客户端心跳检测。检测到客户端离线后，显式调用 pending_task.cancel() 并通过 CancelledError 异常传导链显式回收 pending 协程，强杀上游 HTTP/2 RST_STREAM 帧，从根本上杜绝孤儿 Task 驻留事件循环引发的内存泄漏，毫秒级终止上游计费，减少无效 Token 消耗。</w:t>
      </w:r>
    </w:p>
    <w:p>
      <w:pPr>
        <w:pStyle w:val="ListBullet"/>
        <w:spacing w:after="40"/>
      </w:pPr>
      <w:r>
        <w:rPr>
          <w:sz w:val="20"/>
        </w:rPr>
        <w:t>基于 Qdrant HNSW 索引原生 Filter 实现 AND 逻辑预过滤位图剪枝，在索引遍历阶段完成租户数据硬隔离，规避后过滤导致的召回率衰减问题。</w:t>
      </w:r>
    </w:p>
    <w:p>
      <w:pPr>
        <w:pStyle w:val="ListBullet"/>
        <w:spacing w:after="40"/>
      </w:pPr>
      <w:r>
        <w:rPr>
          <w:sz w:val="20"/>
        </w:rPr>
        <w:t>构建 Dense/Sparse 双阶段混排管线：采用 2-gram 倒排索引 + RRF 融合算法（k=60）动态排序；通过 asyncio.to_thread 安全卸载 BGE-Reranker 精排推理，避免阻塞主事件循环。</w:t>
      </w:r>
    </w:p>
    <w:p>
      <w:pPr>
        <w:pStyle w:val="ListBullet"/>
        <w:spacing w:after="40"/>
      </w:pPr>
      <w:r>
        <w:rPr>
          <w:sz w:val="20"/>
        </w:rPr>
        <w:t>摒弃黑盒框架，基于 FSM 状态机自研确定性 Agent 运行时（Planner → Tool Executor → Fallback），注入最大 4 次迭代沙箱，显著降低无限循环风险。</w:t>
      </w:r>
    </w:p>
    <w:p>
      <w:pPr>
        <w:pStyle w:val="ListBullet"/>
        <w:spacing w:after="40"/>
      </w:pPr>
      <w:r>
        <w:rPr>
          <w:sz w:val="20"/>
        </w:rPr>
        <w:t>自研 Closed/Open/Half-Open 三态自修复熔断器，基于 60s 滑动窗口（10次错误率阈值）动态检测下游 API 状态；在 Half-Open 状态下通过单并发请求进行动态探测自修复，防止高并发下游 API 速率限制（429）雪崩蔓延。</w:t>
      </w:r>
    </w:p>
    <w:p>
      <w:pPr>
        <w:pStyle w:val="ListBullet"/>
        <w:spacing w:after="40"/>
      </w:pPr>
      <w:r>
        <w:rPr>
          <w:sz w:val="20"/>
        </w:rPr>
        <w:t>实现 RediSearch 向量语义缓存，对语义相似度 &gt;0.96 的请求实现 5ms 内无损拦截，显著降低 Token 财务成本。</w:t>
      </w:r>
    </w:p>
    <w:p>
      <w:pPr>
        <w:spacing w:after="40"/>
      </w:pPr>
      <w:r>
        <w:rPr>
          <w:b/>
          <w:sz w:val="20"/>
        </w:rPr>
        <w:t>量化压测成果:</w:t>
      </w:r>
    </w:p>
    <w:p>
      <w:pPr>
        <w:pStyle w:val="ListBullet"/>
        <w:spacing w:after="40"/>
      </w:pPr>
      <w:r>
        <w:rPr>
          <w:sz w:val="20"/>
        </w:rPr>
        <w:t>经 Locust 分布式压力测试验证，在支持 200 并发 SSE 长连接的极限压测基准下，热路径命中向量语义缓存（VSS）实现 5ms 内无损拦截，冷路径 P99 首包延迟（TTFT）稳定压制在 45ms 内。</w:t>
      </w:r>
    </w:p>
    <w:p>
      <w:pPr>
        <w:pStyle w:val="ListBullet"/>
        <w:spacing w:after="40"/>
      </w:pPr>
      <w:r>
        <w:rPr>
          <w:sz w:val="20"/>
        </w:rPr>
        <w:t>在 1000 QPS 压测基准下，基于 1000 条真实测试集调参确立 0.96 向量相似度阈值，语义缓存最高命中率达 68.4%，使单日 Token 财务成本降低 42.6%。</w:t>
      </w:r>
    </w:p>
    <w:p>
      <w:r>
        <w:rPr>
          <w:b/>
          <w:sz w:val="22"/>
        </w:rPr>
        <w:t>OmniParse - 企业级异步多模态文档解析与 ETL 引擎</w:t>
      </w:r>
      <w:r>
        <w:rPr>
          <w:sz w:val="20"/>
        </w:rPr>
        <w:t xml:space="preserve"> | </w:t>
      </w:r>
      <w:r>
        <w:rPr>
          <w:sz w:val="20"/>
        </w:rPr>
        <w:t>AI 数据架构</w:t>
      </w:r>
    </w:p>
    <w:p>
      <w:pPr>
        <w:spacing w:before="0" w:after="80"/>
        <w:jc w:val="right"/>
      </w:pPr>
      <w:r>
        <w:rPr>
          <w:i/>
          <w:color w:val="666666"/>
          <w:sz w:val="20"/>
        </w:rPr>
        <w:t>2026.03 - 2026.04</w:t>
      </w:r>
    </w:p>
    <w:p>
      <w:pPr>
        <w:spacing w:after="80"/>
      </w:pPr>
      <w:r>
        <w:rPr>
          <w:i/>
          <w:color w:val="555555"/>
          <w:sz w:val="20"/>
        </w:rPr>
        <w:t>面向大模型异构知识库场景的分布式数据清洗与入库流水线，支持复杂 PDF、跨页表格等多源数据，提升脏数据结构化提取的准确率。</w:t>
      </w:r>
    </w:p>
    <w:p>
      <w:pPr>
        <w:spacing w:after="80"/>
      </w:pPr>
      <w:r>
        <w:rPr>
          <w:b/>
          <w:sz w:val="18"/>
        </w:rPr>
        <w:t xml:space="preserve">Tech Stack: </w:t>
      </w:r>
      <w:r>
        <w:rPr>
          <w:color w:val="555555"/>
          <w:sz w:val="18"/>
        </w:rPr>
        <w:t>Celery, Redis, MinIO, Unstructured, Qdrant, Docker Compose</w:t>
      </w:r>
    </w:p>
    <w:p>
      <w:pPr>
        <w:pStyle w:val="ListBullet"/>
        <w:spacing w:after="40"/>
      </w:pPr>
      <w:r>
        <w:rPr>
          <w:sz w:val="20"/>
        </w:rPr>
        <w:t>设计 FastAPI + Celery 分布式异步解耦架构，将耗时文件解析从主业务分离。将轻量级 VLM 推理以进程级常驻方式部署于独立算力队列 Worker，通过配置 CELERYD_MAX_TASKS_PER_CHILD=50 定期强行回收子进程，规避显存碎片累积引发的 CUDA OOM 风险。</w:t>
      </w:r>
    </w:p>
    <w:p>
      <w:pPr>
        <w:pStyle w:val="ListBullet"/>
        <w:spacing w:after="40"/>
      </w:pPr>
      <w:r>
        <w:rPr>
          <w:sz w:val="20"/>
        </w:rPr>
        <w:t>自研格式感知切分器 EnterpriseChunker，支持大文件分片传入推理队列并限制单批次图片数量，将空间复杂度稳稳压制在 O(1)。在切分阶段将跨页表格整体还原为完整的 Markdown/HTML 结构作为 Parent Doc，利用轻量级 LLM 生成摘要作为 Child Chunk 入库并保留指针（父子文档策略），显著降低因语义截断引发的模型幻觉率。</w:t>
      </w:r>
    </w:p>
    <w:p>
      <w:pPr>
        <w:pStyle w:val="ListBullet"/>
        <w:spacing w:after="40"/>
      </w:pPr>
      <w:r>
        <w:rPr>
          <w:sz w:val="20"/>
        </w:rPr>
        <w:t>在结构化解析阶段透传 PDF 内嵌图片至轻量级 VLM 生成 Image Caption，完成富文本原位合并，保留长上下文图文关联性。</w:t>
      </w:r>
    </w:p>
    <w:p>
      <w:pPr>
        <w:pStyle w:val="ListBullet"/>
        <w:spacing w:after="40"/>
      </w:pPr>
      <w:r>
        <w:rPr>
          <w:sz w:val="20"/>
        </w:rPr>
        <w:t>设计全流式 Generator Pipeline，将 Qdrant 入库控制在 100 points/batch，高并发场景空间复杂度压制至 O(1)；基于 Docker Compose 实现多级 Worker 一键部署。</w:t>
      </w:r>
    </w:p>
    <w:p>
      <w:pPr>
        <w:pStyle w:val="ListBullet"/>
        <w:spacing w:after="40"/>
      </w:pPr>
      <w:r>
        <w:rPr>
          <w:sz w:val="20"/>
        </w:rPr>
        <w:t>高并发场景下任务提交 P99 延迟 &lt; 20ms。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