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2B9D7" w14:textId="77777777" w:rsidR="00B709FC" w:rsidRDefault="00000000">
      <w:pPr>
        <w:spacing w:after="120"/>
        <w:jc w:val="center"/>
        <w:rPr>
          <w:lang w:eastAsia="zh-CN"/>
        </w:rPr>
      </w:pPr>
      <w:r>
        <w:rPr>
          <w:rFonts w:ascii="黑体" w:eastAsia="黑体" w:hAnsi="黑体"/>
          <w:sz w:val="40"/>
          <w:lang w:eastAsia="zh-CN"/>
        </w:rPr>
        <w:t>碳种校园：校园低碳行为科普的游戏化信息可视化设计策略研究</w:t>
      </w:r>
    </w:p>
    <w:p w14:paraId="43C05B8D" w14:textId="77777777" w:rsidR="00B709FC" w:rsidRDefault="00000000">
      <w:pPr>
        <w:spacing w:after="40"/>
        <w:jc w:val="center"/>
      </w:pPr>
      <w:r>
        <w:rPr>
          <w:rFonts w:ascii="宋体" w:eastAsia="宋体" w:hAnsi="宋体"/>
          <w:sz w:val="18"/>
        </w:rPr>
        <w:t>RESEARCH ON GAMIFIED INFORMATION VISUALIZATION DESIGN STRATEGY FOR CAMPUS LOW-CARBON BEHAVIOR POPULARIZATION</w:t>
      </w:r>
    </w:p>
    <w:p w14:paraId="1A646A8F" w14:textId="77777777" w:rsidR="00B709FC" w:rsidRDefault="00000000">
      <w:pPr>
        <w:spacing w:after="80" w:line="336" w:lineRule="auto"/>
        <w:ind w:firstLine="360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摘要：在“双碳”目标与绿色校园建设的背景下，高校学生普遍认同低碳理念，却存在“知道但不做、做了不知道省了多少”的知行断层。本文以校园低碳行为的科普信息可视化为研究对象，提出游戏化机制与信息可视化相融合的设计路径，并以移动端应用《碳种校园》为实践载体进行验证。研究首先梳理现有校园低碳科普在信息组织、行为引导与反馈机制三方面的不足；继而从视觉信息的同步处理优势、图优效应与沉浸体验三个层面，论证游戏化语境下信息可视化的作用机理；据此提出四条设计策略：以“价值可验算”替代口号式宣传、以空间锚定替代列表罗列、以生长过程替代数值进度、以“只读账本”隔离认知与娱乐。设计实践将 19 类校园低碳行为抽象为“活动量 ×（基准因子 − 实际因子）”的减排计算模型，构建校园漫游与农田养成两段式场景，以可行走的 2.5D 校园地图承载任务情境，以作物生长映射行为累积。结果表明，该设计在不牺牲科学严谨性的前提下，把抽象的碳减排量转译为可感知、可积累、可回溯的视觉经验，为校园低碳科普提供了一种可复用的设计范式。</w:t>
      </w:r>
    </w:p>
    <w:p w14:paraId="1958A9DF" w14:textId="77777777" w:rsidR="00B709FC" w:rsidRDefault="00000000">
      <w:pPr>
        <w:spacing w:after="80" w:line="336" w:lineRule="auto"/>
        <w:ind w:firstLine="360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关键词：信息可视化；游戏化设计；低碳行为；校园科普；行为闭环；2.5D 插画</w:t>
      </w:r>
    </w:p>
    <w:p w14:paraId="480EE90D" w14:textId="77777777" w:rsidR="00B709FC" w:rsidRDefault="00000000">
      <w:pPr>
        <w:spacing w:after="80" w:line="312" w:lineRule="auto"/>
        <w:ind w:firstLine="340"/>
      </w:pPr>
      <w:r>
        <w:rPr>
          <w:rFonts w:ascii="宋体" w:eastAsia="宋体" w:hAnsi="宋体"/>
          <w:sz w:val="17"/>
        </w:rPr>
        <w:t>Abstract: Under the goals of carbon peaking and carbon neutrality and the construction of green campuses, university students generally accept low-carbon concepts, yet a gap persists between knowing and doing: many are willing but do not act, and those who act cannot tell how much they have saved. Taking the popular-science visualization of campus low-carbon behavior as its object, this paper proposes a design path that integrates gamification mechanisms with information visualization, and validates it through a mobile application, Carbon Seed Campus. The study first reviews three deficiencies of existing campus low-carbon popularization in information organization, behavioral guidance and feedback; it then argues for the mechanism of visualization within a gamified context from three aspects: the synchronous processing advantage of visual information, the picture-superiority effect, and immersive experience. On this basis, four design strategies are proposed: replacing slogan-style propaganda with verifiable value, replacing list-style enumeration with spatial anchoring, replacing numeric progress with growth process, and separating cognition from entertainment through a read-only ledger. The practice abstracts nineteen categories of campus low-carbon behavior into a calculation model of quantity multiplied by the difference between baseline and actual emission factors, and constructs a two-stage scene of campus roaming and farmland cultivation.</w:t>
      </w:r>
    </w:p>
    <w:p w14:paraId="7F0F863D" w14:textId="77777777" w:rsidR="00B709FC" w:rsidRDefault="00000000">
      <w:pPr>
        <w:spacing w:after="240" w:line="312" w:lineRule="auto"/>
        <w:ind w:firstLine="340"/>
      </w:pPr>
      <w:r>
        <w:rPr>
          <w:rFonts w:ascii="宋体" w:eastAsia="宋体" w:hAnsi="宋体"/>
          <w:sz w:val="17"/>
        </w:rPr>
        <w:t>Keywords: Information visualization; Gamification design; Low-carbon behavior; Campus popular science; Behavioral loop; 2.5D illustration</w:t>
      </w:r>
    </w:p>
    <w:p w14:paraId="119DCF4B" w14:textId="77777777" w:rsidR="00B709FC" w:rsidRDefault="00000000">
      <w:pPr>
        <w:keepNext/>
        <w:keepLines/>
        <w:spacing w:before="280" w:after="160" w:line="336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引言</w:t>
      </w:r>
    </w:p>
    <w:p w14:paraId="6E2630E8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校园是城市低碳转型的微观实验场。教室照明、通勤方式、餐饮结构与一次性用品消耗，构成了学生日常碳排放的主要来源，也构成了最容易干预的行为场景。近年来，“绿色校园”“零碳校园”建设在高校持续推进，宣传栏、主题班会、志愿服务等科普形式不断丰富，学生对低碳理念的认同度显著提升。</w:t>
      </w:r>
    </w:p>
    <w:p w14:paraId="4A2F2B1E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然而认同并不等于行动。笔者在前期调研中发现两类典型现象：其一，学生能够复述“节约用电”“绿色出行”等口号，却难以判断自己的某一具体行为究竟减少了</w:t>
      </w:r>
      <w:r>
        <w:rPr>
          <w:rFonts w:ascii="宋体" w:eastAsia="宋体" w:hAnsi="宋体"/>
          <w:sz w:val="24"/>
          <w:lang w:eastAsia="zh-CN"/>
        </w:rPr>
        <w:lastRenderedPageBreak/>
        <w:t>多少排放，因而缺乏持续行动的内在理由；其二，即便参与者完成了行为，也往往止于一次性的打卡，缺少将零散行为累积为可见成果的机制。换言之，现有科普完成了“知识传递”，却未完成“价值显影”与“行为固化”。</w:t>
      </w:r>
    </w:p>
    <w:p w14:paraId="0E95FB0A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信息可视化设计在此具有不可替代的作用。它把抽象的量、关系与过程转译为图形，使受众在阅读时能够同步处理多条信息，从而降低理解门槛。但仅凭静态信息图，仍难以解决“看懂了却不做”的问题。游戏化所提供的目标、规则、反馈与循环，恰好补足了从认知到行为的最后一环。</w:t>
      </w:r>
    </w:p>
    <w:p w14:paraId="2ACC59A5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文的工作是：将游戏化机制与信息可视化方法结合，提出针对校园低碳科普的四条设计策略，并以自行设计开发的竖屏移动端作品《碳种校园》加以实现与检验，讨论该路径在科学严谨性与游戏趣味性之间取得平衡的具体做法。</w:t>
      </w:r>
    </w:p>
    <w:p w14:paraId="7C97CC74" w14:textId="77777777" w:rsidR="00B709FC" w:rsidRDefault="00000000">
      <w:pPr>
        <w:keepNext/>
        <w:keepLines/>
        <w:spacing w:before="280" w:after="160" w:line="336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一、校园低碳科普的现状与问题</w:t>
      </w:r>
    </w:p>
    <w:p w14:paraId="668B8336" w14:textId="77777777" w:rsidR="00B709FC" w:rsidRDefault="00000000">
      <w:pPr>
        <w:keepNext/>
        <w:keepLines/>
        <w:spacing w:before="200" w:after="160" w:line="336" w:lineRule="auto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（一）校园低碳行为的实施与科普现状</w:t>
      </w:r>
    </w:p>
    <w:p w14:paraId="11359F3D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校园低碳行为大致可分为四类：出行替代（步行、骑行替代机动车）、能源节约（随手关灯、空调调温）、物资循环（旧书、旧衣、闲置物品流转）与消费替代（自带水杯、减少一次性餐具、植物性饮食）。这四类行为在校园中发生频率高、单次减排量小，属于典型的“高频微行为”。</w:t>
      </w:r>
    </w:p>
    <w:p w14:paraId="512A9ADC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微行为的特点决定了科普的难点。单次行为的减排量多在 0.1—2 kg CO₂e 量级，远低于公众的感知阈值；而行为本身又高度依赖场景触发——学生并非不知道“骑车更环保”，而是在赶时间去教学楼的具体情境中没有被提醒。因此，校园低碳科普的关键不在于“告知更多知识”，而在于“在正确的时刻，以可感知的尺度，呈现行为的价值”。</w:t>
      </w:r>
    </w:p>
    <w:p w14:paraId="6A83D07F" w14:textId="77777777" w:rsidR="00B709FC" w:rsidRDefault="00000000">
      <w:pPr>
        <w:keepNext/>
        <w:keepLines/>
        <w:spacing w:before="200" w:after="160" w:line="336" w:lineRule="auto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（二）现有可视化设计存在的三类问题</w:t>
      </w:r>
    </w:p>
    <w:p w14:paraId="5DE28B86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对现有校园低碳科普物料（宣传栏、折页、公众号长图、打卡小程序）的梳理显示，三类问题较为普遍。</w:t>
      </w:r>
    </w:p>
    <w:p w14:paraId="570F8964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其一，信息组织上的“知识罗列化”。多数物料以“低碳生活十条”“节能减排小妙招”的形式平铺条目，条目之间缺乏逻辑关系与优先级，受众读完仍不知道“对</w:t>
      </w:r>
      <w:r>
        <w:rPr>
          <w:rFonts w:ascii="宋体" w:eastAsia="宋体" w:hAnsi="宋体"/>
          <w:sz w:val="24"/>
          <w:lang w:eastAsia="zh-CN"/>
        </w:rPr>
        <w:lastRenderedPageBreak/>
        <w:t>我而言，哪一件事最值得做”。图表中常见的是装饰性的树叶、地球剪影，而非承载数据的图形编码，视觉元素与信息量之间不成比例。</w:t>
      </w:r>
    </w:p>
    <w:p w14:paraId="0A16A8E2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其二，行为引导上的“场景缺席”。科普内容脱离具体的时间与空间，学生很难在真实情境中调用。反观优秀的科普可视化实践，往往以场景叙事组织信息，将抽象的处置流程还原为可想象的操作动作，从而在受众头脑中预演行为。</w:t>
      </w:r>
    </w:p>
    <w:p w14:paraId="22599AA1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其三，反馈机制上的“成果不可见”。打卡类产品通常只记录次数，不呈现累积效果；学生完成 10 次绿色出行，界面上仍是“10 次”，而非“累计减少 2.0 kg 排放”。缺乏可累积、可回望的成果形态，行为难以沉淀为习惯。</w:t>
      </w:r>
    </w:p>
    <w:p w14:paraId="628DD2A0" w14:textId="77777777" w:rsidR="00B709FC" w:rsidRDefault="00000000">
      <w:pPr>
        <w:keepNext/>
        <w:keepLines/>
        <w:spacing w:before="280" w:after="160" w:line="336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二、游戏化与信息可视化融合的优势</w:t>
      </w:r>
    </w:p>
    <w:p w14:paraId="75D6308B" w14:textId="77777777" w:rsidR="00B709FC" w:rsidRDefault="00000000">
      <w:pPr>
        <w:keepNext/>
        <w:keepLines/>
        <w:spacing w:before="200" w:after="160" w:line="336" w:lineRule="auto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（一）游戏化机制：把“知道”变成“做到”</w:t>
      </w:r>
    </w:p>
    <w:p w14:paraId="35113E55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游戏化的核心并非添加积分与徽章，而是移植游戏得以成立的结构：明确的目标、清晰的规则、即时的反馈与自愿参与的循环。当行为被置于这样的结构中，动机从外部规范转向内部成就，重复行为的发生成本随之降低。</w:t>
      </w:r>
    </w:p>
    <w:p w14:paraId="719103D7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对于高频微行为，游戏化提供的是“累积的容器”。单次减排 0.2 kg 几乎不构成意义，但 30 次累积为 6 kg，并转化为一株作物的成熟，行为便获得了叙事上的重量。这种“以小博大”的价值转换，正是微行为激励的关键。</w:t>
      </w:r>
    </w:p>
    <w:p w14:paraId="634D3B73" w14:textId="77777777" w:rsidR="00B709FC" w:rsidRDefault="00000000">
      <w:pPr>
        <w:keepNext/>
        <w:keepLines/>
        <w:spacing w:before="200" w:after="160" w:line="336" w:lineRule="auto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（二）可视化在游戏化语境中的三重优势</w:t>
      </w:r>
    </w:p>
    <w:p w14:paraId="24EE9DCB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在游戏化框架内，信息可视化承担的不再是“说明”，而是“驱动”。其优势体现在三个层面。</w:t>
      </w:r>
    </w:p>
    <w:p w14:paraId="7128479D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第一，视觉信息的同步处理优势。受众解读视觉信息时能够对多个维度同时加工，而文字必须线性推进。当“减排量、折算成长值、账本余额”三者以同一屏内的图形并置呈现时，用户无需计算即可建立因果关联，认知负荷显著降低。</w:t>
      </w:r>
    </w:p>
    <w:p w14:paraId="31504E31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第二，图形信息的记忆优势。知觉的“图优效应”使图形化信息在延迟回忆中保持更高的留存率。将“步行替代汽车”抽象为一条由脚印延伸为路径的图形，比文字描述更容易在下次出行决策时被唤起。</w:t>
      </w:r>
    </w:p>
    <w:p w14:paraId="70D486E3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第三，可视化的沉浸体验。2.5D 轴测视角介于图示与写实之间，既保留场景的可辨识性，又具备图示的概括性，能够在不牺牲信息清晰度的前提下营造空间沉浸感，使受众从“旁观者”转为“在场者”。</w:t>
      </w:r>
    </w:p>
    <w:p w14:paraId="2447B18C" w14:textId="77777777" w:rsidR="00B709FC" w:rsidRDefault="00000000">
      <w:pPr>
        <w:keepNext/>
        <w:keepLines/>
        <w:spacing w:before="280" w:after="160" w:line="336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三、校园低碳科普信息可视化的设计策略</w:t>
      </w:r>
    </w:p>
    <w:p w14:paraId="6D72FDBB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基于上述分析，本文提出四条相互支撑的设计策略。它们共同回答一个问题：如何让一次微小的低碳行为，在视觉上获得与它科学价值相称的重量。</w:t>
      </w:r>
    </w:p>
    <w:p w14:paraId="6F7CDFC6" w14:textId="77777777" w:rsidR="00B709FC" w:rsidRDefault="00000000">
      <w:pPr>
        <w:keepNext/>
        <w:keepLines/>
        <w:spacing w:before="200" w:after="160" w:line="336" w:lineRule="auto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（一）以“价值可验算”替代口号式宣传</w:t>
      </w:r>
    </w:p>
    <w:p w14:paraId="24A19E0D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低碳科普最容易滑向口号。要建立可信度，必须让每一个数字都能被用户自己复算。具体做法是把减排量表达为一个开放的算式：活动量 ×（基准情景因子 − 实际情景因子），并在界面上完整展示基准值、实际值与代入过程。用户看到的不是“本次减排 0.20 kg”这样一个结论，而是一条可以质疑、可以核对的推导链。</w:t>
      </w:r>
    </w:p>
    <w:p w14:paraId="67391A95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这一策略的代价是必须承认不确定性。作品在每个算式下方标注“基准系数为演示假设，非正式校园核算系数”，把科普的边界如实交代。诚实地暴露假设，反而增强了整体的可信度。</w:t>
      </w:r>
    </w:p>
    <w:p w14:paraId="14BDB95F" w14:textId="77777777" w:rsidR="00B709FC" w:rsidRDefault="00000000">
      <w:pPr>
        <w:keepNext/>
        <w:keepLines/>
        <w:spacing w:before="200" w:after="160" w:line="336" w:lineRule="auto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（二）以空间锚定替代列表罗列</w:t>
      </w:r>
    </w:p>
    <w:p w14:paraId="4D7D32EC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把低碳任务放进一张可以行走的校园地图，是本设计在信息组织上的核心选择。任务不再是列表中的一行，而是依附于具体建筑的空间事件：图书馆对应无纸化课堂，食堂对应自带水杯与植物性饮食，宿舍对应随手关灯与旧衣回收。</w:t>
      </w:r>
    </w:p>
    <w:p w14:paraId="57177787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空间锚定的价值在于两点。其一，它提供了情境线索，用户在真实校园中经过该建筑时，地图上的标记会成为行为提醒；其二，它把“科普阅读”转化为“场景探索”，用户为获得信息而移动，移动本身构成注意力的投入，信息的接收从被动转为主动。</w:t>
      </w:r>
    </w:p>
    <w:p w14:paraId="3A51502F" w14:textId="77777777" w:rsidR="00B709FC" w:rsidRDefault="00000000">
      <w:pPr>
        <w:keepNext/>
        <w:spacing w:before="120" w:after="40"/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3496EE24" wp14:editId="1D3AB272">
            <wp:extent cx="1655999" cy="29429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ap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294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　　</w:t>
      </w:r>
      <w:r>
        <w:rPr>
          <w:noProof/>
        </w:rPr>
        <w:drawing>
          <wp:inline distT="0" distB="0" distL="0" distR="0" wp14:anchorId="6FDC914F" wp14:editId="7BBF71FE">
            <wp:extent cx="1655999" cy="29429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asks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294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E241" w14:textId="77777777" w:rsidR="00B709FC" w:rsidRDefault="00000000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1　校园地图漫游场景　　　图 2　低碳任务列表</w:t>
      </w:r>
    </w:p>
    <w:p w14:paraId="645DC6E1" w14:textId="77777777" w:rsidR="00B709FC" w:rsidRDefault="00000000">
      <w:pPr>
        <w:keepNext/>
        <w:keepLines/>
        <w:spacing w:before="200" w:after="160" w:line="336" w:lineRule="auto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（三）以生长过程替代数值进度</w:t>
      </w:r>
    </w:p>
    <w:p w14:paraId="7CA39BD2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数值进度条传达的是“还差多少”，生长过程传达的是“已经变成什么”。在《碳种校园》中，行为的累积不被表示为百分比，而被表示为作物的五个形态阶段：种子、幼苗、小树、成树、盛放。每一次有效的低碳行为都换算为一次灌溉或施肥，推进形态跃迁。</w:t>
      </w:r>
    </w:p>
    <w:p w14:paraId="2B9DD1AF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这一转换带来了两点收益。其一，多阶段的形态比连续进度条更易被记忆与描述，用户会以“我的樱花开了”而非“我的进度到了 80%”来叙述自己的成果；其二，形态本身构成了视觉奖励，成熟时的花冠与结果，是任何数字都无法提供的即时满足。</w:t>
      </w:r>
    </w:p>
    <w:p w14:paraId="6081ECEE" w14:textId="77777777" w:rsidR="00B709FC" w:rsidRDefault="00000000">
      <w:pPr>
        <w:keepNext/>
        <w:spacing w:before="120" w:after="40"/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7A85057F" wp14:editId="5C30CC73">
            <wp:extent cx="1655999" cy="294294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alc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294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 xml:space="preserve">　　</w:t>
      </w:r>
      <w:r>
        <w:rPr>
          <w:noProof/>
        </w:rPr>
        <w:drawing>
          <wp:inline distT="0" distB="0" distL="0" distR="0" wp14:anchorId="57204698" wp14:editId="0C4127DD">
            <wp:extent cx="1655999" cy="29429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ar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294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55CD" w14:textId="77777777" w:rsidR="00B709FC" w:rsidRDefault="00000000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3　减排计算与双账户反馈　　　图 4　农田养成场景</w:t>
      </w:r>
    </w:p>
    <w:p w14:paraId="77C79686" w14:textId="77777777" w:rsidR="00B709FC" w:rsidRDefault="00000000">
      <w:pPr>
        <w:keepNext/>
        <w:keepLines/>
        <w:spacing w:before="200" w:after="160" w:line="336" w:lineRule="auto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（四）以“只读账本”隔离认知与娱乐</w:t>
      </w:r>
    </w:p>
    <w:p w14:paraId="3EE69907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游戏化最大的风险是让严肃数据被娱乐逻辑侵蚀：一旦减排量可以兑换、可以消耗，它的科学性便不复存在。为此，本设计设置了两个物理隔离的账户：碳账本（碳减排记录）与游戏资源（金币、成长值、作物）。</w:t>
      </w:r>
    </w:p>
    <w:p w14:paraId="2F896F3F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碳账本只增不减，任何游戏内消费都不会触碰它；游戏资源可以自由流通，但不反过来写入碳账本。界面在计算页并列展示两者的走向——“获得成长值 +2”与“碳账本（只读）→ 0.20 kg”，并在说明文字中明确写出“碳账本不会因游戏行为被消耗”。这一设计使科普的严肃性与游戏的自由度得以并存。</w:t>
      </w:r>
    </w:p>
    <w:p w14:paraId="467D8539" w14:textId="77777777" w:rsidR="00B709FC" w:rsidRDefault="00000000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AA2F951" wp14:editId="19435C77">
            <wp:extent cx="1764000" cy="31348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a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4000" cy="313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C488" w14:textId="77777777" w:rsidR="00B709FC" w:rsidRDefault="00000000">
      <w:pPr>
        <w:jc w:val="center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图 5　收获物进入背包并出售</w:t>
      </w:r>
    </w:p>
    <w:p w14:paraId="5FBC73AA" w14:textId="77777777" w:rsidR="00B709FC" w:rsidRDefault="00000000">
      <w:pPr>
        <w:keepNext/>
        <w:keepLines/>
        <w:spacing w:before="280" w:after="160" w:line="336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四、设计实践：《碳种校园》</w:t>
      </w:r>
    </w:p>
    <w:p w14:paraId="5BAE2DED" w14:textId="77777777" w:rsidR="00B709FC" w:rsidRDefault="00000000">
      <w:pPr>
        <w:keepNext/>
        <w:keepLines/>
        <w:spacing w:before="200" w:after="160" w:line="336" w:lineRule="auto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（一）信息抽取与数值建模</w:t>
      </w:r>
    </w:p>
    <w:p w14:paraId="4424CFE3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设计的第一步是把低碳知识转译为可计算的字段，而非可排版的文本。研究梳理出 19 类校园低碳行为，为每一类建立两条因子：基准情景（如乘汽车 0.200 kg/km）与实际情景（如步行 0.000 kg/km），两者之差乘以活动量即得减排量。因子表覆盖出行、用电、物资与餐饮四个维度，所有数值集中存放于单一数据文件中，便于按学校实际情况替换。</w:t>
      </w:r>
    </w:p>
    <w:p w14:paraId="53481BCB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与减排量并行的是游戏侧的换算规则：每 0.1 kg 减排折算 1 点成长值，成长值推动等级提升，等级每升一级解锁两块新的农田；金币作为独立的经济资源，用于购买种子、浇水与施肥。两套数值通过“一次行为同时产出两种结果”的规则耦合，但互不侵入。</w:t>
      </w:r>
    </w:p>
    <w:p w14:paraId="105F1CE8" w14:textId="77777777" w:rsidR="00B709FC" w:rsidRDefault="00000000">
      <w:pPr>
        <w:keepNext/>
        <w:keepLines/>
        <w:spacing w:before="200" w:after="160" w:line="336" w:lineRule="auto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（二）视觉风格定位</w:t>
      </w:r>
    </w:p>
    <w:p w14:paraId="2BE4A1CF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整体视觉语言定为 2.5D 轴测插画：场景以等距视角铺陈，建筑与植被保留手绘质感，光照从上左方向下右方推进，形成统一的体积感。选择轴测而非透视，是因为轴测不产生近大远小的强变形，同一屏内不同位置的信息具备可比性，符合可视化对“可度量”的要求。</w:t>
      </w:r>
    </w:p>
    <w:p w14:paraId="7D205E82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色彩上采用低饱和的校园绿为基底，以米白承载信息卡片，用暖黄（金币）与深绿（成长）区分两类反馈。角色以四方向行走帧呈现——正面、背面、左侧、右侧各八帧，在移动时按运动主轴切换，兼顾表现力与资源体积。</w:t>
      </w:r>
    </w:p>
    <w:p w14:paraId="5DD69909" w14:textId="77777777" w:rsidR="00B709FC" w:rsidRDefault="00000000">
      <w:pPr>
        <w:keepNext/>
        <w:keepLines/>
        <w:spacing w:before="200" w:after="160" w:line="336" w:lineRule="auto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（三）交互结构</w:t>
      </w:r>
    </w:p>
    <w:p w14:paraId="0CB9D932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作品采用竖屏 1080×1920 的设计基准，按屏幕尺寸等比缩放，包含校园与农田两个主场景与若干功能页。</w:t>
      </w:r>
    </w:p>
    <w:p w14:paraId="50CE0E5B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校园场景中，用户点击地面即可行走，系统在可通行区域上以 A* 算法规划路径并逐点绘制引导标记；走近建筑时标签高亮，轻点即可进入对应的低碳任务。任务页以卡片列表呈现，每张卡片同时给出行为描述、估算减排量与金币奖励（图 2）。进入某一任务后，计算页将算式、基准值、实际值与双账户走向一次性呈现（图 3）。</w:t>
      </w:r>
    </w:p>
    <w:p w14:paraId="0C09A5EF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农田场景以全屏等距底图承载 16 块田地。点空地直接弹出种子选择，点已种植的作物则在植株上方浮出信息气泡，只显示名称、阶段与进度，不承载操作；浇水、施肥、收获、背包等操作统一收敛到屏幕底部的图标操作栏。这一分工解决了移动端“气泡遮挡植株”与“手指遮挡操作区”的两难。收获物先进入背包，出售后才转化为金币，形成“收获—持有—变现”的完整经济闭环（图 5）。</w:t>
      </w:r>
    </w:p>
    <w:p w14:paraId="692F7260" w14:textId="77777777" w:rsidR="00B709FC" w:rsidRDefault="00000000">
      <w:pPr>
        <w:keepNext/>
        <w:keepLines/>
        <w:spacing w:before="200" w:after="160" w:line="336" w:lineRule="auto"/>
        <w:rPr>
          <w:lang w:eastAsia="zh-CN"/>
        </w:rPr>
      </w:pPr>
      <w:r>
        <w:rPr>
          <w:rFonts w:ascii="黑体" w:eastAsia="黑体" w:hAnsi="黑体"/>
          <w:sz w:val="24"/>
          <w:lang w:eastAsia="zh-CN"/>
        </w:rPr>
        <w:t>（四）实现与验证</w:t>
      </w:r>
    </w:p>
    <w:p w14:paraId="5C43C1B0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作品以纯前端技术实现：HTML、CSS 与原生 JavaScript，不依赖任何框架与构建工具。校园场景使用 Canvas 逐帧绘制，碰撞检测由一张灰度掩码图逐像素采样完成，寻路在 4 像素网格上运行 A*；界面层使用 DOM，以便文本清晰与可访问性。</w:t>
      </w:r>
    </w:p>
    <w:p w14:paraId="2E6A5D99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为适配移动端播放环境，静态资源经三步优化：剔除未被引用的素材、将大幅底图转为 WebP、合并四方向行走帧为单张精灵表。部署包体积由 19.7 MB 降至 3.2 MB，在 4G 网络下的首屏加载时间约 2 秒。作品同时提供网页版与 Android 安装包两种形态，后者以内置 WebView 加载本地资源，可完全离线运行。</w:t>
      </w:r>
    </w:p>
    <w:p w14:paraId="41957632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在可用性自测中，重点验证了三项：其一，点击寻路在草地、道路、广场等不同地形上的成功率，通过掩码自检脚本完成四方向连通性测试；其二，田地块位与底图泥土格的像素级对齐，通过截图色彩检测反复校正；其三，存档在版本变更后的容错，通过版本号比对丢弃不兼容存档而非报错。</w:t>
      </w:r>
    </w:p>
    <w:p w14:paraId="1DE43E2C" w14:textId="77777777" w:rsidR="00B709FC" w:rsidRDefault="00000000">
      <w:pPr>
        <w:keepNext/>
        <w:keepLines/>
        <w:spacing w:before="280" w:after="160" w:line="336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lastRenderedPageBreak/>
        <w:t>结论</w:t>
      </w:r>
    </w:p>
    <w:p w14:paraId="5831E7F0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文围绕“如何让校园低碳科普从知识传递走向行为固化”这一问题，提出并实践了一条游戏化与信息可视化融合的设计路径。研究认为，面向高频微行为的科普可视化，其难点不在信息量，而在价值的可感知性：必须让用户看见自己的行为值多少、累积成什么、将来会怎样。</w:t>
      </w:r>
    </w:p>
    <w:p w14:paraId="0D9BC6BF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据此形成的四条策略——价值可验算、空间锚定、生长叙事、只读账本——分别回应了可信度、情境性、累积感与严肃性四个维度。在《碳种校园》的实践中，这些策略被落实为减排算式、可行走的校园地图、五阶段作物形态与双账户结构，验证了其可行性与自洽性。</w:t>
      </w:r>
    </w:p>
    <w:p w14:paraId="2C2437B9" w14:textId="77777777" w:rsidR="00B709FC" w:rsidRDefault="00000000">
      <w:pPr>
        <w:spacing w:after="12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研究仍存在局限。其一，减排因子取自公开资料，尚未与本校准数体系对接，数值仅具演示意义；其二，目前仅完成单机形态，缺少真实用户的行为数据回流，策略的有效性尚待规模化的对照实验检验。后续工作将围绕因子本地化、多人协作场景与行为数据的纵向追踪展开。</w:t>
      </w:r>
    </w:p>
    <w:p w14:paraId="047A7FBD" w14:textId="77777777" w:rsidR="00B709FC" w:rsidRDefault="00000000">
      <w:pPr>
        <w:keepNext/>
        <w:keepLines/>
        <w:spacing w:before="280" w:after="160" w:line="336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参考文献</w:t>
      </w:r>
    </w:p>
    <w:p w14:paraId="6A832CBB" w14:textId="77777777" w:rsidR="00B709FC" w:rsidRDefault="00000000">
      <w:pPr>
        <w:spacing w:after="60" w:line="312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[1] 樊荣, 陈紫琪, 陈鹏. 社区垃圾分类的科普信息可视化设计策略研究[J]. 设计, 2024, 37(12): 140-144.</w:t>
      </w:r>
    </w:p>
    <w:p w14:paraId="4557EF2E" w14:textId="77777777" w:rsidR="00B709FC" w:rsidRDefault="00000000">
      <w:pPr>
        <w:spacing w:after="60" w:line="312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[2] 中共中央, 国务院. 关于完整准确全面贯彻新发展理念做好碳达峰碳中和工作的意见[Z]. 2021-09-22.</w:t>
      </w:r>
    </w:p>
    <w:p w14:paraId="597F8B1B" w14:textId="77777777" w:rsidR="00B709FC" w:rsidRDefault="00000000">
      <w:pPr>
        <w:spacing w:after="60" w:line="312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[3] 李拓. 信息可视化：让公众“看得见”疫情的设计方法[J]. 装饰, 2020(2): 38-45.</w:t>
      </w:r>
    </w:p>
    <w:p w14:paraId="0D086B05" w14:textId="77777777" w:rsidR="00B709FC" w:rsidRDefault="00000000">
      <w:pPr>
        <w:spacing w:after="60" w:line="312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[4] 周华清, 李小霞. 中外医学类期刊科学可视化设计比较研究[J]. 出版科学, 2021, 29(4): 32-41.</w:t>
      </w:r>
    </w:p>
    <w:p w14:paraId="16FE5AFD" w14:textId="77777777" w:rsidR="00B709FC" w:rsidRDefault="00000000">
      <w:pPr>
        <w:spacing w:after="60" w:line="312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[5] 易晓丽, 王瑾. 冬季运动项目可视化设计探索——以高山滑雪运动项目为例[J]. 设计, 2019, 32(5): 33-35.</w:t>
      </w:r>
    </w:p>
    <w:p w14:paraId="36F549EB" w14:textId="77777777" w:rsidR="00B709FC" w:rsidRDefault="00000000">
      <w:pPr>
        <w:spacing w:after="60" w:line="312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[6] 杨梅, 李航. 格式塔心理学视知觉原理在扁平化设计中的应用[J]. 包装工程, 2019, 40(8): 72-75.</w:t>
      </w:r>
    </w:p>
    <w:p w14:paraId="7B218413" w14:textId="77777777" w:rsidR="00B709FC" w:rsidRDefault="00000000">
      <w:pPr>
        <w:spacing w:after="60" w:line="312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[7] 樊荣, 李笑晗, 陈鹏. 后疫情时代下新冠疫苗信息可视化设计研究[J]. 设计, 2022, 35(21): 64-68.</w:t>
      </w:r>
    </w:p>
    <w:p w14:paraId="4FD4C696" w14:textId="77777777" w:rsidR="00B709FC" w:rsidRDefault="00000000">
      <w:pPr>
        <w:spacing w:after="60" w:line="312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[8] 简·麦戈尼格尔. 游戏改变世界[M]. 闾佳, 译. 杭州: 浙江人民出版社, 2012.</w:t>
      </w:r>
    </w:p>
    <w:p w14:paraId="30D341BC" w14:textId="77777777" w:rsidR="00B709FC" w:rsidRDefault="00000000">
      <w:pPr>
        <w:spacing w:after="60" w:line="312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[9] 米哈里·契克森米哈赖. 心流：最优体验心理学[M]. 张定绮, 译. 北京: 中信出版社, 2017.</w:t>
      </w:r>
    </w:p>
    <w:p w14:paraId="338D8996" w14:textId="77777777" w:rsidR="00B709FC" w:rsidRDefault="00000000">
      <w:pPr>
        <w:spacing w:after="60" w:line="312" w:lineRule="auto"/>
      </w:pPr>
      <w:r>
        <w:rPr>
          <w:rFonts w:ascii="宋体" w:eastAsia="宋体" w:hAnsi="宋体"/>
          <w:sz w:val="18"/>
        </w:rPr>
        <w:t>[10] SCHELL J. The Art of Game Design: A Book of Lenses[M]. Boca Raton: CRC Press, 2008.</w:t>
      </w:r>
    </w:p>
    <w:p w14:paraId="57E4137C" w14:textId="77777777" w:rsidR="00B709FC" w:rsidRDefault="00000000">
      <w:pPr>
        <w:spacing w:after="60" w:line="312" w:lineRule="auto"/>
      </w:pPr>
      <w:r>
        <w:rPr>
          <w:rFonts w:ascii="宋体" w:eastAsia="宋体" w:hAnsi="宋体"/>
          <w:sz w:val="18"/>
        </w:rPr>
        <w:t>[11] TUFTE E R. The Visual Display of Quantitative Information[M]. 2nd ed. Cheshire: Graphics Press, 2001.</w:t>
      </w:r>
    </w:p>
    <w:p w14:paraId="63CC6DA3" w14:textId="77777777" w:rsidR="00B709FC" w:rsidRDefault="00000000">
      <w:pPr>
        <w:spacing w:after="60" w:line="312" w:lineRule="auto"/>
      </w:pPr>
      <w:r>
        <w:rPr>
          <w:rFonts w:ascii="宋体" w:eastAsia="宋体" w:hAnsi="宋体"/>
          <w:sz w:val="18"/>
        </w:rPr>
        <w:t>[12] 朱红宇. 青少年科普信息可视化设计研究[D]. 无锡: 江南大学, 2022.</w:t>
      </w:r>
    </w:p>
    <w:sectPr w:rsidR="00B709F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313448">
    <w:abstractNumId w:val="8"/>
  </w:num>
  <w:num w:numId="2" w16cid:durableId="1059979427">
    <w:abstractNumId w:val="6"/>
  </w:num>
  <w:num w:numId="3" w16cid:durableId="1603148481">
    <w:abstractNumId w:val="5"/>
  </w:num>
  <w:num w:numId="4" w16cid:durableId="1543591298">
    <w:abstractNumId w:val="4"/>
  </w:num>
  <w:num w:numId="5" w16cid:durableId="622267398">
    <w:abstractNumId w:val="7"/>
  </w:num>
  <w:num w:numId="6" w16cid:durableId="1533959543">
    <w:abstractNumId w:val="3"/>
  </w:num>
  <w:num w:numId="7" w16cid:durableId="627005054">
    <w:abstractNumId w:val="2"/>
  </w:num>
  <w:num w:numId="8" w16cid:durableId="1867517089">
    <w:abstractNumId w:val="1"/>
  </w:num>
  <w:num w:numId="9" w16cid:durableId="847210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326"/>
    <w:rsid w:val="00034616"/>
    <w:rsid w:val="0006063C"/>
    <w:rsid w:val="0015074B"/>
    <w:rsid w:val="0029639D"/>
    <w:rsid w:val="00326F90"/>
    <w:rsid w:val="00AA1D8D"/>
    <w:rsid w:val="00B47730"/>
    <w:rsid w:val="00B709FC"/>
    <w:rsid w:val="00BB2DC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FE03F1"/>
  <w14:defaultImageDpi w14:val="300"/>
  <w15:docId w15:val="{095C333B-B61B-4DD8-90B2-A6616E75C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1160</Words>
  <Characters>6614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程 政</cp:lastModifiedBy>
  <cp:revision>3</cp:revision>
  <dcterms:created xsi:type="dcterms:W3CDTF">2013-12-23T23:15:00Z</dcterms:created>
  <dcterms:modified xsi:type="dcterms:W3CDTF">2026-10-20T14:37:00Z</dcterms:modified>
  <cp:category/>
</cp:coreProperties>
</file>