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298BC">
      <w:pPr>
        <w:pStyle w:val="26"/>
        <w:jc w:val="center"/>
      </w:pPr>
      <w:sdt>
        <w:sdtPr>
          <w:tag w:val="meta.project"/>
        </w:sdtPr>
        <w:sdtContent>
          <w:r>
            <w:rPr>
              <w:rFonts w:hint="eastAsia" w:eastAsia="宋体"/>
              <w:sz w:val="21"/>
              <w:lang w:val="en-US" w:eastAsia="zh-CN"/>
            </w:rPr>
            <w:t>待生成</w:t>
          </w:r>
        </w:sdtContent>
      </w:sdt>
    </w:p>
    <w:p w14:paraId="706C0C7B">
      <w:pPr>
        <w:pStyle w:val="31"/>
        <w:spacing w:before="400"/>
        <w:jc w:val="center"/>
      </w:pPr>
      <w:r>
        <w:t>网络设备巡检报告</w:t>
      </w:r>
    </w:p>
    <w:p w14:paraId="2118708B">
      <w:pPr>
        <w:pStyle w:val="26"/>
        <w:jc w:val="center"/>
      </w:pPr>
      <w:sdt>
        <w:sdtPr>
          <w:tag w:val="meta.period_label"/>
        </w:sdtPr>
        <w:sdtContent>
          <w:r>
            <w:rPr>
              <w:rFonts w:hint="eastAsia" w:eastAsia="宋体"/>
              <w:sz w:val="21"/>
              <w:lang w:eastAsia="zh-CN"/>
            </w:rPr>
            <w:t>待生成</w:t>
          </w:r>
        </w:sdtContent>
      </w:sdt>
    </w:p>
    <w:p w14:paraId="73AEF9AA">
      <w:pPr>
        <w:spacing w:after="1280"/>
      </w:pPr>
    </w:p>
    <w:p w14:paraId="33191419">
      <w:pPr>
        <w:spacing w:after="260"/>
        <w:ind w:left="1757"/>
        <w:jc w:val="left"/>
      </w:pPr>
      <w:r>
        <w:t xml:space="preserve">客户单位  </w:t>
      </w:r>
      <w:sdt>
        <w:sdtPr>
          <w:tag w:val="meta.recipient"/>
        </w:sdtPr>
        <w:sdtContent>
          <w:r>
            <w:rPr>
              <w:sz w:val="21"/>
            </w:rPr>
            <w:t>待生成</w:t>
          </w:r>
        </w:sdtContent>
      </w:sdt>
    </w:p>
    <w:p w14:paraId="757A247C">
      <w:pPr>
        <w:spacing w:after="260"/>
        <w:ind w:left="1757"/>
        <w:jc w:val="left"/>
      </w:pPr>
      <w:r>
        <w:t xml:space="preserve">编制单位  </w:t>
      </w:r>
      <w:sdt>
        <w:sdtPr>
          <w:tag w:val="meta.issuer"/>
        </w:sdtPr>
        <w:sdtContent>
          <w:r>
            <w:rPr>
              <w:sz w:val="21"/>
            </w:rPr>
            <w:t>待生成</w:t>
          </w:r>
        </w:sdtContent>
      </w:sdt>
    </w:p>
    <w:p w14:paraId="1A1DF361">
      <w:pPr>
        <w:spacing w:after="260"/>
        <w:ind w:left="1757"/>
        <w:jc w:val="left"/>
      </w:pPr>
      <w:r>
        <w:t xml:space="preserve">编制人员  </w:t>
      </w:r>
      <w:sdt>
        <w:sdtPr>
          <w:tag w:val="meta.author"/>
        </w:sdtPr>
        <w:sdtContent>
          <w:r>
            <w:rPr>
              <w:sz w:val="21"/>
            </w:rPr>
            <w:t>待生成</w:t>
          </w:r>
        </w:sdtContent>
      </w:sdt>
    </w:p>
    <w:p w14:paraId="2B27E7C8">
      <w:pPr>
        <w:spacing w:after="260"/>
        <w:ind w:left="1757"/>
        <w:jc w:val="left"/>
      </w:pPr>
      <w:r>
        <w:t xml:space="preserve">复核人员  </w:t>
      </w:r>
      <w:sdt>
        <w:sdtPr>
          <w:tag w:val="meta.reviewer"/>
        </w:sdtPr>
        <w:sdtContent>
          <w:r>
            <w:rPr>
              <w:sz w:val="21"/>
            </w:rPr>
            <w:t>待生成</w:t>
          </w:r>
        </w:sdtContent>
      </w:sdt>
    </w:p>
    <w:p w14:paraId="46D47492">
      <w:pPr>
        <w:spacing w:after="260"/>
        <w:ind w:left="1757"/>
        <w:jc w:val="left"/>
      </w:pPr>
      <w:r>
        <w:t xml:space="preserve">报告日期  </w:t>
      </w:r>
      <w:sdt>
        <w:sdtPr>
          <w:tag w:val="meta.report_date"/>
        </w:sdtPr>
        <w:sdtContent>
          <w:r>
            <w:rPr>
              <w:sz w:val="21"/>
            </w:rPr>
            <w:t>待生成</w:t>
          </w:r>
        </w:sdtContent>
      </w:sdt>
    </w:p>
    <w:p w14:paraId="086FEAD5">
      <w:pPr>
        <w:spacing w:after="260"/>
        <w:ind w:left="1757"/>
        <w:jc w:val="left"/>
      </w:pPr>
      <w:r>
        <w:t xml:space="preserve">报告编号  </w:t>
      </w:r>
      <w:sdt>
        <w:sdtPr>
          <w:tag w:val="meta.report_number"/>
        </w:sdtPr>
        <w:sdtContent>
          <w:r>
            <w:rPr>
              <w:sz w:val="21"/>
            </w:rPr>
            <w:t>待生成</w:t>
          </w:r>
        </w:sdtContent>
      </w:sdt>
    </w:p>
    <w:p w14:paraId="7C125D86">
      <w:pPr>
        <w:spacing w:after="260"/>
        <w:ind w:left="1757"/>
        <w:jc w:val="left"/>
      </w:pPr>
      <w:r>
        <w:t xml:space="preserve">版本  </w:t>
      </w:r>
      <w:sdt>
        <w:sdtPr>
          <w:tag w:val="meta.revision"/>
        </w:sdtPr>
        <w:sdtContent>
          <w:r>
            <w:rPr>
              <w:sz w:val="21"/>
            </w:rPr>
            <w:t>待生成</w:t>
          </w:r>
        </w:sdtContent>
      </w:sdt>
    </w:p>
    <w:p w14:paraId="36DE9690">
      <w:pPr>
        <w:pStyle w:val="3"/>
        <w:widowControl w:val="0"/>
        <w:numPr>
          <w:ilvl w:val="0"/>
          <w:numId w:val="0"/>
        </w:numPr>
        <w:spacing w:before="120" w:after="120" w:line="360" w:lineRule="auto"/>
        <w:ind w:leftChars="0"/>
        <w:jc w:val="both"/>
        <w:rPr>
          <w:rFonts w:hint="eastAsia" w:ascii="Noto Sans CJK SC" w:hAnsi="Noto Sans CJK SC" w:eastAsia="Noto Sans CJK SC"/>
          <w:lang w:val="zh-CN" w:eastAsia="zh-CN"/>
        </w:rPr>
      </w:pPr>
      <w:r>
        <w:br w:type="page"/>
      </w:r>
      <w:bookmarkStart w:id="0" w:name="_Toc31336"/>
      <w:bookmarkStart w:id="1" w:name="_Toc354840186"/>
      <w:r>
        <w:rPr>
          <w:rFonts w:hint="eastAsia" w:eastAsia="宋体"/>
          <w:lang w:val="en-US" w:eastAsia="zh-CN"/>
        </w:rPr>
        <w:t>1.</w:t>
      </w:r>
      <w:r>
        <w:rPr>
          <w:rFonts w:hint="default" w:ascii="ＭＳ 明朝" w:hAnsi="ＭＳ 明朝" w:eastAsia="ＭＳ 明朝" w:cs="宋体"/>
          <w:bCs w:val="0"/>
          <w:color w:val="auto"/>
          <w:kern w:val="44"/>
          <w:sz w:val="36"/>
          <w:szCs w:val="36"/>
          <w:lang w:val="zh-CN" w:eastAsia="zh-CN"/>
          <w14:scene3d>
            <w14:lightRig w14:rig="threePt" w14:dir="t">
              <w14:rot w14:lat="0" w14:lon="0" w14:rev="0"/>
            </w14:lightRig>
          </w14:scene3d>
        </w:rPr>
        <w:t>概</w:t>
      </w:r>
      <w:r>
        <w:rPr>
          <w:rFonts w:hint="default" w:ascii="Noto Sans CJK SC" w:hAnsi="Noto Sans CJK SC" w:eastAsia="Noto Sans CJK SC"/>
          <w:lang w:val="zh-CN" w:eastAsia="zh-CN"/>
        </w:rPr>
        <w:t>述</w:t>
      </w:r>
      <w:bookmarkEnd w:id="0"/>
      <w:bookmarkEnd w:id="1"/>
    </w:p>
    <w:p w14:paraId="5FC9307D">
      <w:pPr>
        <w:spacing w:before="0" w:after="80" w:line="276" w:lineRule="auto"/>
        <w:jc w:val="left"/>
        <w:rPr>
          <w:rFonts w:hint="default" w:ascii="Noto Sans CJK SC" w:hAnsi="Noto Sans CJK SC" w:eastAsia="Noto Sans CJK SC"/>
          <w:sz w:val="21"/>
          <w:lang w:eastAsia="zh-CN"/>
        </w:rPr>
      </w:pPr>
      <w:sdt>
        <w:sdtPr>
          <w:tag w:val="scope.overview"/>
        </w:sdtPr>
        <w:sdtContent>
          <w:r>
            <w:rPr>
              <w:rFonts w:hint="eastAsia" w:ascii="Noto Sans CJK SC" w:hAnsi="Noto Sans CJK SC" w:eastAsia="Noto Sans CJK SC"/>
              <w:sz w:val="21"/>
              <w:lang w:eastAsia="zh-CN"/>
            </w:rPr>
            <w:t>待生成</w:t>
          </w:r>
        </w:sdtContent>
      </w:sdt>
    </w:p>
    <w:p w14:paraId="36C268BD">
      <w:pPr>
        <w:widowControl w:val="0"/>
        <w:spacing w:after="0" w:line="360" w:lineRule="auto"/>
        <w:ind w:right="71" w:firstLine="420"/>
        <w:jc w:val="left"/>
        <w:rPr>
          <w:rFonts w:hint="eastAsia" w:ascii="ＭＳ 明朝" w:hAnsi="ＭＳ 明朝" w:eastAsia="ＭＳ 明朝" w:cs="宋体"/>
          <w:spacing w:val="4"/>
          <w:kern w:val="2"/>
          <w:sz w:val="24"/>
          <w:szCs w:val="24"/>
          <w:lang w:eastAsia="zh-CN"/>
        </w:rPr>
      </w:pPr>
      <w:r>
        <w:t>本次结论：</w:t>
      </w:r>
      <w:sdt>
        <w:sdtPr>
          <w:tag w:val="conclusion.text"/>
        </w:sdtPr>
        <w:sdtContent>
          <w:r>
            <w:t>待生成</w:t>
          </w:r>
        </w:sdtContent>
      </w:sdt>
    </w:p>
    <w:p w14:paraId="7AF496AB">
      <w:pPr>
        <w:pStyle w:val="4"/>
        <w:keepNext/>
        <w:pageBreakBefore w:val="0"/>
        <w:spacing w:before="120" w:after="100"/>
        <w:rPr>
          <w:rFonts w:hint="eastAsia" w:ascii="Noto Sans CJK SC" w:hAnsi="Noto Sans CJK SC" w:eastAsia="Noto Sans CJK SC"/>
          <w:lang w:val="en-US" w:eastAsia="zh-CN"/>
        </w:rPr>
      </w:pPr>
      <w:bookmarkStart w:id="2" w:name="_Toc4845"/>
      <w:r>
        <w:rPr>
          <w:rFonts w:hint="eastAsia" w:ascii="Noto Sans CJK SC" w:hAnsi="Noto Sans CJK SC" w:eastAsia="Noto Sans CJK SC"/>
          <w:lang w:val="en-US" w:eastAsia="zh-CN"/>
        </w:rPr>
        <w:t>1.1巡检概述</w:t>
      </w:r>
      <w:bookmarkEnd w:id="2"/>
    </w:p>
    <w:p w14:paraId="5E863B92">
      <w:pPr>
        <w:widowControl w:val="0"/>
        <w:spacing w:line="360" w:lineRule="auto"/>
        <w:ind w:firstLine="510"/>
        <w:jc w:val="left"/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-SA"/>
        </w:rPr>
      </w:pPr>
      <w:sdt>
        <w:sdtPr>
          <w:tag w:val="scope.periods"/>
        </w:sdtPr>
        <w:sdtContent>
          <w:r>
            <w:rPr>
              <w:rFonts w:hint="eastAsia" w:ascii="Calibri" w:hAnsi="Calibri" w:eastAsia="宋体" w:cs="Times New Roman"/>
              <w:kern w:val="2"/>
              <w:sz w:val="24"/>
              <w:szCs w:val="24"/>
              <w:lang w:val="en-US" w:eastAsia="zh-CN" w:bidi="ar-SA"/>
            </w:rPr>
            <w:t>待生成</w:t>
          </w:r>
        </w:sdtContent>
      </w:sdt>
    </w:p>
    <w:p w14:paraId="4DFF9384">
      <w:pPr>
        <w:widowControl w:val="0"/>
        <w:spacing w:line="360" w:lineRule="auto"/>
        <w:ind w:firstLine="510"/>
        <w:jc w:val="left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</w:pPr>
      <w:sdt>
        <w:sdtPr>
          <w:tag w:val="scope.method"/>
        </w:sdtPr>
        <w:sdtContent>
          <w:r>
            <w:rPr>
              <w:rFonts w:hint="eastAsia" w:ascii="Calibri" w:hAnsi="Calibri" w:eastAsia="宋体" w:cs="Times New Roman"/>
              <w:kern w:val="2"/>
              <w:sz w:val="24"/>
              <w:szCs w:val="24"/>
              <w:lang w:val="en-US" w:eastAsia="zh-CN" w:bidi="ar-SA"/>
            </w:rPr>
            <w:t>待生成</w:t>
          </w:r>
        </w:sdtContent>
      </w:sdt>
    </w:p>
    <w:p w14:paraId="4652A227">
      <w:pPr>
        <w:widowControl w:val="0"/>
        <w:spacing w:line="360" w:lineRule="auto"/>
        <w:ind w:firstLine="510"/>
        <w:jc w:val="left"/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-SA"/>
        </w:rPr>
      </w:pPr>
      <w:sdt>
        <w:sdtPr>
          <w:tag w:val="scope.contact"/>
        </w:sdtPr>
        <w:sdtContent>
          <w:r>
            <w:rPr>
              <w:rFonts w:hint="eastAsia" w:ascii="Calibri" w:hAnsi="Calibri" w:eastAsia="宋体" w:cs="Times New Roman"/>
              <w:kern w:val="2"/>
              <w:sz w:val="24"/>
              <w:szCs w:val="24"/>
              <w:lang w:val="en-US" w:eastAsia="zh-CN" w:bidi="ar-SA"/>
            </w:rPr>
            <w:t>待生成</w:t>
          </w:r>
        </w:sdtContent>
      </w:sdt>
    </w:p>
    <w:p w14:paraId="3F083A01">
      <w:pPr>
        <w:pStyle w:val="4"/>
        <w:keepNext/>
        <w:pageBreakBefore w:val="0"/>
        <w:spacing w:before="120" w:after="100"/>
        <w:rPr>
          <w:rFonts w:hint="eastAsia" w:ascii="Noto Sans CJK SC" w:hAnsi="Noto Sans CJK SC" w:eastAsia="Noto Sans CJK SC"/>
          <w:lang w:val="en-US" w:eastAsia="zh-CN"/>
        </w:rPr>
      </w:pPr>
      <w:bookmarkStart w:id="3" w:name="_Toc3137"/>
      <w:r>
        <w:rPr>
          <w:rFonts w:hint="eastAsia" w:ascii="Noto Sans CJK SC" w:hAnsi="Noto Sans CJK SC" w:eastAsia="Noto Sans CJK SC"/>
          <w:lang w:val="en-US" w:eastAsia="zh-CN"/>
        </w:rPr>
        <w:t>1.2巡检说明</w:t>
      </w:r>
      <w:bookmarkEnd w:id="3"/>
    </w:p>
    <w:p w14:paraId="064474DB">
      <w:pPr>
        <w:spacing w:before="0" w:after="80" w:line="276" w:lineRule="auto"/>
        <w:jc w:val="left"/>
        <w:rPr>
          <w:rFonts w:hint="default" w:ascii="Noto Sans CJK SC" w:hAnsi="Noto Sans CJK SC" w:eastAsia="Noto Sans CJK SC"/>
          <w:sz w:val="21"/>
          <w:lang w:eastAsia="zh-CN"/>
        </w:rPr>
      </w:pPr>
      <w:sdt>
        <w:sdtPr>
          <w:tag w:val="scope.source_purpose"/>
        </w:sdtPr>
        <w:sdtContent>
          <w:r>
            <w:rPr>
              <w:rFonts w:hint="eastAsia" w:ascii="Noto Sans CJK SC" w:hAnsi="Noto Sans CJK SC" w:eastAsia="Noto Sans CJK SC"/>
              <w:sz w:val="21"/>
              <w:lang w:eastAsia="zh-CN"/>
            </w:rPr>
            <w:t>待生成</w:t>
          </w:r>
        </w:sdtContent>
      </w:sdt>
    </w:p>
    <w:p w14:paraId="278C4790">
      <w:pPr>
        <w:widowControl w:val="0"/>
        <w:spacing w:after="0" w:line="360" w:lineRule="auto"/>
        <w:ind w:firstLine="496" w:firstLineChars="200"/>
        <w:jc w:val="both"/>
        <w:rPr>
          <w:rFonts w:hint="eastAsia" w:ascii="ＭＳ 明朝" w:hAnsi="ＭＳ 明朝" w:eastAsia="ＭＳ 明朝" w:cs="宋体"/>
          <w:spacing w:val="4"/>
          <w:kern w:val="2"/>
          <w:sz w:val="24"/>
          <w:szCs w:val="24"/>
          <w:lang w:eastAsia="zh-CN"/>
        </w:rPr>
      </w:pPr>
    </w:p>
    <w:p w14:paraId="60D3D638">
      <w:pPr>
        <w:pStyle w:val="3"/>
        <w:keepNext/>
        <w:pageBreakBefore w:val="0"/>
        <w:spacing w:before="200" w:after="100"/>
      </w:pPr>
      <w:r>
        <w:rPr>
          <w:rFonts w:ascii="Noto Sans CJK SC" w:hAnsi="Noto Sans CJK SC" w:eastAsia="Noto Sans CJK SC"/>
        </w:rPr>
        <w:t>2. 巡检范围与判定方法</w:t>
      </w:r>
    </w:p>
    <w:p w14:paraId="36B65FDC">
      <w:pPr>
        <w:pStyle w:val="4"/>
        <w:keepNext/>
        <w:pageBreakBefore w:val="0"/>
        <w:spacing w:before="120" w:after="100"/>
      </w:pPr>
      <w:r>
        <w:rPr>
          <w:rFonts w:ascii="Noto Sans CJK SC" w:hAnsi="Noto Sans CJK SC" w:eastAsia="Noto Sans CJK SC"/>
        </w:rPr>
        <w:t>2.1 设备与数据范围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268"/>
        <w:gridCol w:w="1417"/>
        <w:gridCol w:w="3509"/>
      </w:tblGrid>
      <w:tr w14:paraId="39329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311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64AB2">
            <w:pPr>
              <w:keepNext w:val="0"/>
              <w:spacing w:before="80" w:after="80"/>
              <w:jc w:val="center"/>
              <w:rPr>
                <w:rFonts w:hint="default" w:eastAsia="Noto Sans CJK SC"/>
                <w:lang w:val="en-US" w:eastAsia="zh-CN"/>
              </w:rPr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设备</w:t>
            </w:r>
            <w:r>
              <w:rPr>
                <w:rFonts w:hint="eastAsia"/>
                <w:b/>
                <w:color w:val="1F2937"/>
                <w:sz w:val="18"/>
                <w:lang w:val="en-US" w:eastAsia="zh-CN"/>
              </w:rPr>
              <w:t>ID</w:t>
            </w:r>
          </w:p>
        </w:tc>
        <w:tc>
          <w:tcPr>
            <w:tcW w:w="226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9E065">
            <w:pPr>
              <w:keepNext w:val="0"/>
              <w:spacing w:before="80" w:after="8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型号</w:t>
            </w:r>
          </w:p>
        </w:tc>
        <w:tc>
          <w:tcPr>
            <w:tcW w:w="141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ACF7E">
            <w:pPr>
              <w:keepNext w:val="0"/>
              <w:spacing w:before="80" w:after="80"/>
              <w:jc w:val="center"/>
              <w:rPr>
                <w:rFonts w:hint="eastAsia" w:eastAsia="Noto Sans CJK SC"/>
                <w:lang w:eastAsia="zh-CN"/>
              </w:rPr>
            </w:pPr>
            <w:r>
              <w:rPr>
                <w:rFonts w:hint="eastAsia"/>
                <w:b/>
                <w:color w:val="1F2937"/>
                <w:sz w:val="18"/>
                <w:lang w:eastAsia="zh-CN"/>
              </w:rPr>
              <w:t>厂商</w:t>
            </w:r>
          </w:p>
        </w:tc>
        <w:tc>
          <w:tcPr>
            <w:tcW w:w="35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736F9">
            <w:pPr>
              <w:keepNext w:val="0"/>
              <w:spacing w:before="80" w:after="80"/>
              <w:jc w:val="center"/>
              <w:rPr>
                <w:rFonts w:hint="default" w:eastAsia="Noto Sans CJK SC"/>
                <w:lang w:val="en-US" w:eastAsia="zh-CN"/>
              </w:rPr>
            </w:pPr>
            <w:r>
              <w:rPr>
                <w:rFonts w:hint="eastAsia"/>
                <w:b/>
                <w:color w:val="1F2937"/>
                <w:sz w:val="18"/>
                <w:lang w:val="en-US" w:eastAsia="zh-CN"/>
              </w:rPr>
              <w:t>序列号</w:t>
            </w:r>
          </w:p>
        </w:tc>
      </w:tr>
      <w:tr w14:paraId="6B496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36321">
            <w:pPr>
              <w:keepNext w:val="0"/>
              <w:spacing w:before="80" w:after="80"/>
              <w:jc w:val="left"/>
            </w:pPr>
            <w:sdt>
              <w:sdtPr>
                <w:tag w:val="inventory.0"/>
              </w:sdtPr>
              <w:sdtContent>
                <w:r>
                  <w:rPr>
                    <w:rFonts w:ascii="Noto Sans CJK SC" w:hAnsi="Noto Sans CJK SC" w:eastAsia="Noto Sans CJK SC"/>
                    <w:b w:val="0"/>
                    <w:sz w:val="18"/>
                  </w:rPr>
                  <w:t>待生成</w:t>
                </w:r>
              </w:sdtContent>
            </w:sdt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33349">
            <w:pPr>
              <w:keepNext w:val="0"/>
              <w:spacing w:before="80" w:after="80"/>
              <w:jc w:val="left"/>
            </w:pPr>
            <w:sdt>
              <w:sdtPr>
                <w:tag w:val="inventory.1"/>
              </w:sdtPr>
              <w:sdtContent>
                <w:r>
                  <w:rPr>
                    <w:rFonts w:ascii="Noto Sans CJK SC" w:hAnsi="Noto Sans CJK SC" w:eastAsia="Noto Sans CJK SC"/>
                    <w:b w:val="0"/>
                    <w:sz w:val="18"/>
                  </w:rPr>
                  <w:t>待生成</w:t>
                </w:r>
              </w:sdtContent>
            </w:sdt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64C3F">
            <w:pPr>
              <w:keepNext w:val="0"/>
              <w:spacing w:before="80" w:after="80"/>
              <w:jc w:val="left"/>
              <w:rPr>
                <w:rFonts w:hint="default" w:eastAsia="Noto Sans CJK SC"/>
                <w:lang w:val="en-US" w:eastAsia="zh-CN"/>
              </w:rPr>
            </w:pPr>
            <w:sdt>
              <w:sdtPr>
                <w:tag w:val="inventory.2"/>
              </w:sdtPr>
              <w:sdtContent>
                <w:r>
                  <w:rPr>
                    <w:rFonts w:hint="eastAsia"/>
                    <w:b w:val="0"/>
                    <w:sz w:val="18"/>
                    <w:lang w:val="en-US" w:eastAsia="zh-CN"/>
                  </w:rPr>
                  <w:t>待生成</w:t>
                </w:r>
              </w:sdtContent>
            </w:sdt>
          </w:p>
        </w:tc>
        <w:tc>
          <w:tcPr>
            <w:tcW w:w="35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5CEF9">
            <w:pPr>
              <w:keepNext w:val="0"/>
              <w:spacing w:before="80" w:after="80"/>
              <w:jc w:val="left"/>
              <w:rPr>
                <w:rFonts w:hint="default" w:eastAsia="Noto Sans CJK SC"/>
                <w:lang w:val="en-US" w:eastAsia="zh-CN"/>
              </w:rPr>
            </w:pPr>
            <w:sdt>
              <w:sdtPr>
                <w:tag w:val="inventory.3"/>
              </w:sdtPr>
              <w:sdtContent>
                <w:r>
                  <w:rPr>
                    <w:rFonts w:hint="eastAsia"/>
                    <w:b w:val="0"/>
                    <w:sz w:val="18"/>
                    <w:lang w:val="en-US" w:eastAsia="zh-CN"/>
                  </w:rPr>
                  <w:t>待生成</w:t>
                </w:r>
              </w:sdtContent>
            </w:sdt>
          </w:p>
        </w:tc>
      </w:tr>
    </w:tbl>
    <w:p w14:paraId="40D0401A">
      <w:pPr>
        <w:spacing w:after="0"/>
      </w:pPr>
    </w:p>
    <w:p w14:paraId="7D3D1142">
      <w:pPr>
        <w:pStyle w:val="4"/>
        <w:keepNext/>
        <w:pageBreakBefore w:val="0"/>
        <w:spacing w:before="120" w:after="100"/>
      </w:pPr>
      <w:r>
        <w:rPr>
          <w:rFonts w:ascii="Noto Sans CJK SC" w:hAnsi="Noto Sans CJK SC" w:eastAsia="Noto Sans CJK SC"/>
        </w:rPr>
        <w:t>2.2 判定模型</w:t>
      </w:r>
    </w:p>
    <w:p w14:paraId="749FEB21"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本报告将“当前健康状态”“相对基线的变化事件”“数据质量/覆盖情况”分开处理，避免把恢复事件、解析缺口和当前故障混为同一种风险。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3892"/>
        <w:gridCol w:w="4543"/>
      </w:tblGrid>
      <w:tr w14:paraId="0E0B6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87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BC193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维度</w:t>
            </w:r>
          </w:p>
        </w:tc>
        <w:tc>
          <w:tcPr>
            <w:tcW w:w="1851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24039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可用状态</w:t>
            </w:r>
          </w:p>
        </w:tc>
        <w:tc>
          <w:tcPr>
            <w:tcW w:w="216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55300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本报告使用方式</w:t>
            </w:r>
          </w:p>
        </w:tc>
      </w:tr>
      <w:tr w14:paraId="6E30B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E974C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当前健康状态</w:t>
            </w:r>
          </w:p>
        </w:tc>
        <w:tc>
          <w:tcPr>
            <w:tcW w:w="185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8C705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正常 / 异常 / 无法判断 / 不适用</w:t>
            </w:r>
          </w:p>
        </w:tc>
        <w:tc>
          <w:tcPr>
            <w:tcW w:w="216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EB233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回答“采集时点当前是否存在异常”</w:t>
            </w:r>
          </w:p>
        </w:tc>
      </w:tr>
      <w:tr w14:paraId="72CD3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DCEB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变化事件</w:t>
            </w:r>
          </w:p>
        </w:tc>
        <w:tc>
          <w:tcPr>
            <w:tcW w:w="185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AB95D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新增 / 持续 / 已恢复 / 已变化 / 无基线</w:t>
            </w:r>
          </w:p>
        </w:tc>
        <w:tc>
          <w:tcPr>
            <w:tcW w:w="216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9CA94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回答“相对基线发生了什么”</w:t>
            </w:r>
          </w:p>
        </w:tc>
      </w:tr>
      <w:tr w14:paraId="408AC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33D95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数据质量</w:t>
            </w:r>
          </w:p>
        </w:tc>
        <w:tc>
          <w:tcPr>
            <w:tcW w:w="185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157BC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完整 / 部分 / 无数据</w:t>
            </w:r>
          </w:p>
        </w:tc>
        <w:tc>
          <w:tcPr>
            <w:tcW w:w="216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ACD0E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回答“是否有足够证据支撑结论”</w:t>
            </w:r>
          </w:p>
        </w:tc>
      </w:tr>
    </w:tbl>
    <w:p w14:paraId="4FA1959E">
      <w:pPr>
        <w:spacing w:after="0"/>
      </w:pPr>
    </w:p>
    <w:p w14:paraId="1C954925">
      <w:pPr>
        <w:pStyle w:val="4"/>
        <w:keepNext/>
        <w:pageBreakBefore w:val="0"/>
        <w:spacing w:before="120" w:after="100"/>
      </w:pPr>
      <w:r>
        <w:rPr>
          <w:rFonts w:ascii="Noto Sans CJK SC" w:hAnsi="Noto Sans CJK SC" w:eastAsia="Noto Sans CJK SC"/>
        </w:rPr>
        <w:t>2.3 关键检查标准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0"/>
        <w:gridCol w:w="3276"/>
        <w:gridCol w:w="3091"/>
        <w:gridCol w:w="2473"/>
      </w:tblGrid>
      <w:tr w14:paraId="5784F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B18DC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检查项</w:t>
            </w:r>
          </w:p>
        </w:tc>
        <w:tc>
          <w:tcPr>
            <w:tcW w:w="1558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1126C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判定依据</w:t>
            </w:r>
          </w:p>
        </w:tc>
        <w:tc>
          <w:tcPr>
            <w:tcW w:w="147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543C5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正常条件</w:t>
            </w:r>
          </w:p>
        </w:tc>
        <w:tc>
          <w:tcPr>
            <w:tcW w:w="1176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5F302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无法判断条件</w:t>
            </w:r>
          </w:p>
        </w:tc>
      </w:tr>
      <w:tr w14:paraId="40771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BB3A3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光模块 RX/TX</w:t>
            </w:r>
          </w:p>
        </w:tc>
        <w:tc>
          <w:tcPr>
            <w:tcW w:w="155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设备返回的适用阈值；以本次冻结判定依据为准</w:t>
            </w:r>
          </w:p>
        </w:tc>
        <w:tc>
          <w:tcPr>
            <w:tcW w:w="147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C9683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Low &lt;= 当前值 &lt;= High</w:t>
            </w:r>
          </w:p>
        </w:tc>
        <w:tc>
          <w:tcPr>
            <w:tcW w:w="117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93C23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模块无阈值、无有效测点或对象不适用</w:t>
            </w:r>
          </w:p>
        </w:tc>
      </w:tr>
      <w:tr w14:paraId="40F1C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80476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风扇</w:t>
            </w:r>
          </w:p>
        </w:tc>
        <w:tc>
          <w:tcPr>
            <w:tcW w:w="155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F5810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设备返回运行状态</w:t>
            </w:r>
          </w:p>
        </w:tc>
        <w:tc>
          <w:tcPr>
            <w:tcW w:w="147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46796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全部适用风扇状态为 normal</w:t>
            </w:r>
          </w:p>
        </w:tc>
        <w:tc>
          <w:tcPr>
            <w:tcW w:w="117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65CF6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状态字段缺失或对象未识别</w:t>
            </w:r>
          </w:p>
        </w:tc>
      </w:tr>
      <w:tr w14:paraId="24996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F9B18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电源</w:t>
            </w:r>
          </w:p>
        </w:tc>
        <w:tc>
          <w:tcPr>
            <w:tcW w:w="155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430B7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设备返回运行状态</w:t>
            </w:r>
          </w:p>
        </w:tc>
        <w:tc>
          <w:tcPr>
            <w:tcW w:w="147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D9C7F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全部适用电源状态为 normal</w:t>
            </w:r>
          </w:p>
        </w:tc>
        <w:tc>
          <w:tcPr>
            <w:tcW w:w="117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FD08C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状态字段缺失或对象未识别</w:t>
            </w:r>
          </w:p>
        </w:tc>
      </w:tr>
      <w:tr w14:paraId="11C48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49827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温度</w:t>
            </w:r>
          </w:p>
        </w:tc>
        <w:tc>
          <w:tcPr>
            <w:tcW w:w="155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6E015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设备每个传感器自身阈值</w:t>
            </w:r>
          </w:p>
        </w:tc>
        <w:tc>
          <w:tcPr>
            <w:tcW w:w="147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CC6B6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当前值低于对应 warning/alarm 阈值</w:t>
            </w:r>
          </w:p>
        </w:tc>
        <w:tc>
          <w:tcPr>
            <w:tcW w:w="117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2A5D9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传感器阈值缺失</w:t>
            </w:r>
          </w:p>
        </w:tc>
      </w:tr>
      <w:tr w14:paraId="1319F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1C3BE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CPU / 内存</w:t>
            </w:r>
          </w:p>
        </w:tc>
        <w:tc>
          <w:tcPr>
            <w:tcW w:w="155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A60B7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设备或组织确认的阈值与采样口径</w:t>
            </w:r>
          </w:p>
        </w:tc>
        <w:tc>
          <w:tcPr>
            <w:tcW w:w="147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8B6F9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满足完整阈值规则</w:t>
            </w:r>
          </w:p>
        </w:tc>
        <w:tc>
          <w:tcPr>
            <w:tcW w:w="117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2BBDC"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阈值层级或要求字段不完整</w:t>
            </w:r>
          </w:p>
        </w:tc>
      </w:tr>
      <w:tr w14:paraId="12F12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FE8B9">
            <w:pPr>
              <w:spacing w:before="0" w:after="0"/>
              <w:jc w:val="left"/>
              <w:rPr>
                <w:rFonts w:hint="default" w:ascii="Noto Sans CJK SC" w:hAnsi="Noto Sans CJK SC" w:eastAsia="Noto Sans CJK SC"/>
                <w:b w:val="0"/>
                <w:sz w:val="17"/>
                <w:lang w:val="en-US" w:eastAsia="zh-CN"/>
              </w:rPr>
            </w:pPr>
            <w:r>
              <w:rPr>
                <w:rFonts w:hint="eastAsia"/>
                <w:b w:val="0"/>
                <w:sz w:val="17"/>
                <w:lang w:val="en-US" w:eastAsia="zh-CN"/>
              </w:rPr>
              <w:t>其它诊断信息</w:t>
            </w:r>
          </w:p>
        </w:tc>
        <w:tc>
          <w:tcPr>
            <w:tcW w:w="155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D7834">
            <w:pPr>
              <w:spacing w:before="0" w:after="0"/>
              <w:jc w:val="left"/>
              <w:rPr>
                <w:rFonts w:hint="eastAsia" w:ascii="Noto Sans CJK SC" w:hAnsi="Noto Sans CJK SC" w:eastAsia="Noto Sans CJK SC"/>
                <w:b w:val="0"/>
                <w:sz w:val="17"/>
                <w:lang w:eastAsia="zh-CN"/>
              </w:rPr>
            </w:pPr>
            <w:r>
              <w:rPr>
                <w:rFonts w:hint="eastAsia"/>
                <w:b w:val="0"/>
                <w:sz w:val="17"/>
                <w:lang w:eastAsia="zh-CN"/>
              </w:rPr>
              <w:t>文本变化</w:t>
            </w:r>
          </w:p>
        </w:tc>
        <w:tc>
          <w:tcPr>
            <w:tcW w:w="147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按实际比较结果记录变化，不据此判定健康</w:t>
            </w:r>
          </w:p>
        </w:tc>
        <w:tc>
          <w:tcPr>
            <w:tcW w:w="117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缺少基线或未完成比较</w:t>
            </w:r>
          </w:p>
        </w:tc>
      </w:tr>
    </w:tbl>
    <w:p w14:paraId="5ECCFB7D">
      <w:pPr>
        <w:spacing w:after="0"/>
      </w:pPr>
    </w:p>
    <w:p w14:paraId="363B28F9">
      <w:pPr>
        <w:pStyle w:val="3"/>
        <w:keepNext/>
        <w:pageBreakBefore w:val="0"/>
        <w:spacing w:before="200" w:after="100"/>
      </w:pPr>
      <w:r>
        <w:rPr>
          <w:rFonts w:hint="eastAsia" w:ascii="Noto Sans CJK SC" w:hAnsi="Noto Sans CJK SC" w:eastAsia="Noto Sans CJK SC"/>
          <w:lang w:val="en-US" w:eastAsia="zh-CN"/>
        </w:rPr>
        <w:t>3</w:t>
      </w:r>
      <w:r>
        <w:rPr>
          <w:rFonts w:ascii="Noto Sans CJK SC" w:hAnsi="Noto Sans CJK SC" w:eastAsia="Noto Sans CJK SC"/>
        </w:rPr>
        <w:t>. 巡检结论</w:t>
      </w:r>
    </w:p>
    <w:p w14:paraId="2B19A45E">
      <w:pPr>
        <w:pStyle w:val="4"/>
        <w:keepNext/>
        <w:pageBreakBefore w:val="0"/>
        <w:spacing w:before="120" w:after="100"/>
      </w:pPr>
      <w:r>
        <w:rPr>
          <w:rFonts w:hint="eastAsia" w:ascii="Noto Sans CJK SC" w:hAnsi="Noto Sans CJK SC" w:eastAsia="Noto Sans CJK SC"/>
          <w:lang w:val="en-US" w:eastAsia="zh-CN"/>
        </w:rPr>
        <w:t>3</w:t>
      </w:r>
      <w:r>
        <w:rPr>
          <w:rFonts w:ascii="Noto Sans CJK SC" w:hAnsi="Noto Sans CJK SC" w:eastAsia="Noto Sans CJK SC"/>
        </w:rPr>
        <w:t>.1 结论摘要</w:t>
      </w:r>
    </w:p>
    <w:p w14:paraId="2E1F4AD8">
      <w:pPr>
        <w:spacing w:before="0" w:after="80" w:line="276" w:lineRule="auto"/>
        <w:jc w:val="left"/>
      </w:pPr>
      <w:sdt>
        <w:sdtPr>
          <w:tag w:val="narrative.summary"/>
        </w:sdtPr>
        <w:sdtContent>
          <w:r>
            <w:rPr>
              <w:rFonts w:ascii="Noto Sans CJK SC" w:hAnsi="Noto Sans CJK SC" w:eastAsia="Noto Sans CJK SC"/>
              <w:sz w:val="21"/>
            </w:rPr>
            <w:t>待生成</w:t>
          </w:r>
        </w:sdtContent>
      </w:sdt>
    </w:p>
    <w:p w14:paraId="2D7816B2">
      <w:pPr>
        <w:spacing w:before="0" w:after="80" w:line="276" w:lineRule="auto"/>
        <w:jc w:val="left"/>
      </w:pPr>
      <w:sdt>
        <w:sdtPr>
          <w:tag w:val="conclusion.basis"/>
        </w:sdtPr>
        <w:sdtContent>
          <w:r>
            <w:rPr>
              <w:rFonts w:ascii="Noto Sans CJK SC" w:hAnsi="Noto Sans CJK SC" w:eastAsia="Noto Sans CJK SC"/>
              <w:sz w:val="21"/>
            </w:rPr>
            <w:t>待生成</w:t>
          </w:r>
        </w:sdtContent>
      </w:sdt>
    </w:p>
    <w:p>
      <w:pPr>
        <w:jc w:val="left"/>
      </w:pPr>
      <w:sdt>
        <w:sdtPr>
          <w:tag w:val="changes.summary"/>
        </w:sdtPr>
        <w:sdtContent>
          <w:r>
            <w:t>待生成</w:t>
          </w:r>
        </w:sdtContent>
      </w:sdt>
    </w:p>
    <w:p w14:paraId="2760EBB7">
      <w:pPr>
        <w:pStyle w:val="4"/>
        <w:keepNext/>
        <w:pageBreakBefore w:val="0"/>
        <w:spacing w:before="120" w:after="100"/>
      </w:pPr>
      <w:r>
        <w:rPr>
          <w:rFonts w:hint="eastAsia" w:ascii="Noto Sans CJK SC" w:hAnsi="Noto Sans CJK SC" w:eastAsia="Noto Sans CJK SC"/>
          <w:lang w:val="en-US" w:eastAsia="zh-CN"/>
        </w:rPr>
        <w:t>3</w:t>
      </w:r>
      <w:r>
        <w:rPr>
          <w:rFonts w:ascii="Noto Sans CJK SC" w:hAnsi="Noto Sans CJK SC" w:eastAsia="Noto Sans CJK SC"/>
        </w:rPr>
        <w:t xml:space="preserve">.2 </w:t>
      </w:r>
      <w:r>
        <w:t>巡检发现与变化事项</w:t>
      </w:r>
    </w:p>
    <w:p w14:paraId="4A85945F">
      <w:pPr>
        <w:keepNext/>
      </w:pPr>
      <w:r>
        <w:t>正文仅保留必要的定位和结论信息，详细原始 CLI 与判断过程见对应证据附录。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438"/>
        <w:gridCol w:w="5499"/>
        <w:gridCol w:w="1242"/>
      </w:tblGrid>
      <w:tr w14:paraId="4FFC3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4FDD28">
            <w:pPr>
              <w:keepNext w:val="0"/>
              <w:spacing w:after="80" w:line="240" w:lineRule="auto" w:before="80"/>
            </w:pPr>
            <w:r>
              <w:rPr>
                <w:rFonts w:ascii="微软雅黑" w:hAnsi="微软雅黑" w:eastAsia="微软雅黑"/>
                <w:b/>
                <w:color w:val="203864"/>
                <w:sz w:val="18"/>
              </w:rPr>
              <w:t>类型</w:t>
            </w:r>
          </w:p>
        </w:tc>
        <w:tc>
          <w:tcPr>
            <w:tcW w:w="243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16BD55">
            <w:pPr>
              <w:keepNext w:val="0"/>
              <w:spacing w:after="80" w:line="240" w:lineRule="auto" w:before="80"/>
            </w:pPr>
            <w:r>
              <w:rPr>
                <w:rFonts w:ascii="微软雅黑" w:hAnsi="微软雅黑" w:eastAsia="微软雅黑"/>
                <w:b/>
                <w:color w:val="203864"/>
                <w:sz w:val="18"/>
              </w:rPr>
              <w:t>设备ID</w:t>
            </w:r>
          </w:p>
        </w:tc>
        <w:tc>
          <w:tcPr>
            <w:tcW w:w="549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A79F44">
            <w:pPr>
              <w:keepNext w:val="0"/>
              <w:spacing w:after="80" w:line="240" w:lineRule="auto" w:before="80"/>
            </w:pPr>
            <w:r>
              <w:rPr>
                <w:rFonts w:ascii="微软雅黑" w:hAnsi="微软雅黑" w:eastAsia="微软雅黑"/>
                <w:b/>
                <w:color w:val="203864"/>
                <w:sz w:val="18"/>
              </w:rPr>
              <w:t>问题描述</w:t>
            </w:r>
          </w:p>
        </w:tc>
        <w:tc>
          <w:tcPr>
            <w:tcW w:w="124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F58274">
            <w:pPr>
              <w:keepNext w:val="0"/>
              <w:spacing w:after="80" w:line="240" w:lineRule="auto" w:before="80"/>
            </w:pPr>
            <w:r>
              <w:rPr>
                <w:rFonts w:ascii="微软雅黑" w:hAnsi="微软雅黑" w:eastAsia="微软雅黑"/>
                <w:b/>
                <w:color w:val="203864"/>
                <w:sz w:val="18"/>
              </w:rPr>
              <w:t>证据</w:t>
            </w:r>
          </w:p>
        </w:tc>
      </w:tr>
      <w:tr w14:paraId="5B32F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13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875796">
            <w:pPr>
              <w:keepNext w:val="0"/>
              <w:spacing w:after="80" w:line="240" w:lineRule="auto" w:before="80"/>
              <w:jc w:val="left"/>
            </w:pPr>
            <w:sdt>
              <w:sdtPr>
                <w:tag w:val="findings.0"/>
              </w:sdtPr>
              <w:sdtContent>
                <w:r>
                  <w:rPr>
                    <w:rFonts w:ascii="微软雅黑" w:hAnsi="微软雅黑" w:eastAsia="微软雅黑"/>
                    <w:sz w:val="18"/>
                  </w:rPr>
                  <w:t>待生成</w:t>
                </w:r>
              </w:sdtContent>
            </w:sdt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1EDC95">
            <w:pPr>
              <w:keepNext w:val="0"/>
              <w:spacing w:after="80" w:line="240" w:lineRule="auto" w:before="80"/>
              <w:jc w:val="left"/>
            </w:pPr>
            <w:sdt>
              <w:sdtPr>
                <w:tag w:val="findings.1"/>
              </w:sdtPr>
              <w:sdtContent>
                <w:r>
                  <w:rPr>
                    <w:rFonts w:ascii="微软雅黑" w:hAnsi="微软雅黑" w:eastAsia="微软雅黑"/>
                    <w:sz w:val="18"/>
                  </w:rPr>
                  <w:t>待生成</w:t>
                </w:r>
              </w:sdtContent>
            </w:sdt>
          </w:p>
        </w:tc>
        <w:tc>
          <w:tcPr>
            <w:tcW w:w="549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2691F9">
            <w:pPr>
              <w:keepNext w:val="0"/>
              <w:spacing w:after="80" w:line="240" w:lineRule="auto" w:before="80"/>
              <w:jc w:val="left"/>
            </w:pPr>
            <w:sdt>
              <w:sdtPr>
                <w:tag w:val="findings.2"/>
              </w:sdtPr>
              <w:sdtContent>
                <w:r>
                  <w:rPr>
                    <w:rFonts w:ascii="微软雅黑" w:hAnsi="微软雅黑" w:eastAsia="微软雅黑"/>
                    <w:sz w:val="18"/>
                  </w:rPr>
                  <w:t>待生成</w:t>
                </w:r>
              </w:sdtContent>
            </w:sdt>
          </w:p>
        </w:tc>
        <w:tc>
          <w:tcPr>
            <w:tcW w:w="124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086389">
            <w:pPr>
              <w:keepNext w:val="0"/>
              <w:spacing w:after="80" w:line="240" w:lineRule="auto" w:before="80"/>
              <w:jc w:val="left"/>
            </w:pPr>
            <w:sdt>
              <w:sdtPr>
                <w:tag w:val="findings.3"/>
              </w:sdtPr>
              <w:sdtContent>
                <w:r>
                  <w:rPr>
                    <w:rFonts w:ascii="微软雅黑" w:hAnsi="微软雅黑" w:eastAsia="微软雅黑"/>
                    <w:sz w:val="18"/>
                  </w:rPr>
                  <w:t>待生成</w:t>
                </w:r>
              </w:sdtContent>
            </w:sdt>
          </w:p>
        </w:tc>
      </w:tr>
    </w:tbl>
    <w:p w14:paraId="3EB94148">
      <w:pPr>
        <w:pStyle w:val="3"/>
        <w:keepNext/>
        <w:pageBreakBefore/>
        <w:spacing w:before="200" w:after="100"/>
      </w:pPr>
      <w:r>
        <w:rPr>
          <w:rFonts w:hint="eastAsia" w:ascii="Noto Sans CJK SC" w:hAnsi="Noto Sans CJK SC" w:eastAsia="Noto Sans CJK SC"/>
          <w:lang w:val="en-US" w:eastAsia="zh-CN"/>
        </w:rPr>
        <w:t>4</w:t>
      </w:r>
      <w:r>
        <w:rPr>
          <w:rFonts w:ascii="Noto Sans CJK SC" w:hAnsi="Noto Sans CJK SC" w:eastAsia="Noto Sans CJK SC"/>
        </w:rPr>
        <w:t>. 数据质量、整改与复检</w:t>
      </w:r>
    </w:p>
    <w:p w14:paraId="3DC2EAF0">
      <w:pPr>
        <w:pStyle w:val="4"/>
        <w:keepNext/>
        <w:pageBreakBefore w:val="0"/>
        <w:spacing w:before="120" w:after="100"/>
      </w:pPr>
      <w:r>
        <w:rPr>
          <w:rFonts w:hint="eastAsia" w:ascii="Noto Sans CJK SC" w:hAnsi="Noto Sans CJK SC" w:eastAsia="Noto Sans CJK SC"/>
          <w:lang w:val="en-US" w:eastAsia="zh-CN"/>
        </w:rPr>
        <w:t>4</w:t>
      </w:r>
      <w:r>
        <w:rPr>
          <w:rFonts w:ascii="Noto Sans CJK SC" w:hAnsi="Noto Sans CJK SC" w:eastAsia="Noto Sans CJK SC"/>
        </w:rPr>
        <w:t>.1 数据质量与覆盖缺口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304"/>
        <w:gridCol w:w="3628"/>
        <w:gridCol w:w="1871"/>
        <w:gridCol w:w="2489"/>
      </w:tblGrid>
      <w:tr w14:paraId="0015F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10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9F798">
            <w:pPr>
              <w:keepNext w:val="0"/>
              <w:spacing w:before="80" w:after="8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优先级</w:t>
            </w:r>
          </w:p>
        </w:tc>
        <w:tc>
          <w:tcPr>
            <w:tcW w:w="130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A1FCD">
            <w:pPr>
              <w:keepNext w:val="0"/>
              <w:spacing w:before="80" w:after="8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检查域</w:t>
            </w:r>
          </w:p>
        </w:tc>
        <w:tc>
          <w:tcPr>
            <w:tcW w:w="362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9BD70">
            <w:pPr>
              <w:keepNext w:val="0"/>
              <w:spacing w:before="80" w:after="8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缺口</w:t>
            </w:r>
          </w:p>
        </w:tc>
        <w:tc>
          <w:tcPr>
            <w:tcW w:w="187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FD354">
            <w:pPr>
              <w:keepNext w:val="0"/>
              <w:spacing w:before="80" w:after="8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影响</w:t>
            </w:r>
          </w:p>
        </w:tc>
        <w:tc>
          <w:tcPr>
            <w:tcW w:w="248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3989C">
            <w:pPr>
              <w:keepNext w:val="0"/>
              <w:spacing w:before="80" w:after="8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处理建议</w:t>
            </w:r>
          </w:p>
        </w:tc>
      </w:tr>
      <w:tr w14:paraId="319B2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020" w:type="dxa"/>
            <w:shd w:val="clear" w:color="auto" w:fill="FFF1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9D057">
            <w:pPr>
              <w:keepNext w:val="0"/>
              <w:spacing w:before="80" w:after="80"/>
              <w:jc w:val="left"/>
            </w:pPr>
            <w:sdt>
              <w:sdtPr>
                <w:tag w:val="quality_gaps.0"/>
              </w:sdtPr>
              <w:sdtContent>
                <w:r>
                  <w:rPr>
                    <w:rFonts w:ascii="Noto Sans CJK SC" w:hAnsi="Noto Sans CJK SC" w:eastAsia="Noto Sans CJK SC"/>
                    <w:b/>
                    <w:color w:val="C2410C"/>
                    <w:sz w:val="16"/>
                  </w:rPr>
                  <w:t>待生成</w:t>
                </w:r>
              </w:sdtContent>
            </w:sdt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B6CC4">
            <w:pPr>
              <w:keepNext w:val="0"/>
              <w:spacing w:before="80" w:after="80"/>
              <w:jc w:val="left"/>
            </w:pPr>
            <w:sdt>
              <w:sdtPr>
                <w:tag w:val="quality_gaps.1"/>
              </w:sdtPr>
              <w:sdtContent>
                <w:r>
                  <w:rPr>
                    <w:rFonts w:ascii="Noto Sans CJK SC" w:hAnsi="Noto Sans CJK SC" w:eastAsia="Noto Sans CJK SC"/>
                    <w:b w:val="0"/>
                    <w:sz w:val="16"/>
                  </w:rPr>
                  <w:t>待生成</w:t>
                </w:r>
              </w:sdtContent>
            </w:sdt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5916F">
            <w:pPr>
              <w:keepNext w:val="0"/>
              <w:spacing w:before="80" w:after="80"/>
              <w:jc w:val="left"/>
            </w:pPr>
            <w:sdt>
              <w:sdtPr>
                <w:tag w:val="quality_gaps.2"/>
              </w:sdtPr>
              <w:sdtContent>
                <w:r>
                  <w:rPr>
                    <w:rFonts w:ascii="Noto Sans CJK SC" w:hAnsi="Noto Sans CJK SC" w:eastAsia="Noto Sans CJK SC"/>
                    <w:b w:val="0"/>
                    <w:sz w:val="16"/>
                  </w:rPr>
                  <w:t>待生成</w:t>
                </w:r>
              </w:sdtContent>
            </w:sdt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59BB8">
            <w:pPr>
              <w:keepNext w:val="0"/>
              <w:spacing w:before="80" w:after="80"/>
              <w:jc w:val="left"/>
            </w:pPr>
            <w:sdt>
              <w:sdtPr>
                <w:tag w:val="quality_gaps.3"/>
              </w:sdtPr>
              <w:sdtContent>
                <w:r>
                  <w:rPr>
                    <w:rFonts w:ascii="Noto Sans CJK SC" w:hAnsi="Noto Sans CJK SC" w:eastAsia="Noto Sans CJK SC"/>
                    <w:b w:val="0"/>
                    <w:sz w:val="16"/>
                  </w:rPr>
                  <w:t>待生成</w:t>
                </w:r>
              </w:sdtContent>
            </w:sdt>
          </w:p>
        </w:tc>
        <w:tc>
          <w:tcPr>
            <w:tcW w:w="2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46F24">
            <w:pPr>
              <w:keepNext w:val="0"/>
              <w:spacing w:before="80" w:after="80"/>
              <w:jc w:val="left"/>
            </w:pPr>
            <w:sdt>
              <w:sdtPr>
                <w:tag w:val="quality_gaps.4"/>
              </w:sdtPr>
              <w:sdtContent>
                <w:r>
                  <w:rPr>
                    <w:rFonts w:ascii="Noto Sans CJK SC" w:hAnsi="Noto Sans CJK SC" w:eastAsia="Noto Sans CJK SC"/>
                    <w:b w:val="0"/>
                    <w:sz w:val="16"/>
                  </w:rPr>
                  <w:t>待生成</w:t>
                </w:r>
              </w:sdtContent>
            </w:sdt>
          </w:p>
        </w:tc>
      </w:tr>
    </w:tbl>
    <w:p w14:paraId="4E5B2FE7">
      <w:pPr>
        <w:spacing w:after="0"/>
        <w:jc w:val="left"/>
      </w:pPr>
      <w:sdt>
        <w:sdtPr>
          <w:tag w:val="narrative.limitations"/>
        </w:sdtPr>
        <w:sdtContent>
          <w:r>
            <w:t>待生成</w:t>
          </w:r>
        </w:sdtContent>
      </w:sdt>
    </w:p>
    <w:p w14:paraId="76C9F8AA">
      <w:pPr>
        <w:pStyle w:val="4"/>
        <w:keepNext/>
        <w:pageBreakBefore w:val="0"/>
        <w:spacing w:before="120" w:after="100"/>
      </w:pPr>
      <w:r>
        <w:rPr>
          <w:rFonts w:hint="eastAsia" w:ascii="Noto Sans CJK SC" w:hAnsi="Noto Sans CJK SC" w:eastAsia="Noto Sans CJK SC"/>
          <w:lang w:val="en-US" w:eastAsia="zh-CN"/>
        </w:rPr>
        <w:t>4</w:t>
      </w:r>
      <w:r>
        <w:rPr>
          <w:rFonts w:ascii="Noto Sans CJK SC" w:hAnsi="Noto Sans CJK SC" w:eastAsia="Noto Sans CJK SC"/>
        </w:rPr>
        <w:t>.2 网络整改建议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608"/>
        <w:gridCol w:w="3118"/>
        <w:gridCol w:w="2319"/>
      </w:tblGrid>
      <w:tr w14:paraId="05EFF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A08A6A">
            <w:pPr>
              <w:keepNext w:val="0"/>
              <w:spacing w:after="80" w:line="240" w:lineRule="auto" w:before="80"/>
            </w:pPr>
            <w:r>
              <w:rPr>
                <w:rFonts w:ascii="微软雅黑" w:hAnsi="微软雅黑" w:eastAsia="微软雅黑"/>
                <w:b/>
                <w:color w:val="203864"/>
                <w:sz w:val="18"/>
              </w:rPr>
              <w:t>设备ID</w:t>
            </w:r>
          </w:p>
        </w:tc>
        <w:tc>
          <w:tcPr>
            <w:tcW w:w="260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8DDFF4">
            <w:pPr>
              <w:keepNext w:val="0"/>
              <w:spacing w:after="80" w:line="240" w:lineRule="auto" w:before="80"/>
            </w:pPr>
            <w:r>
              <w:rPr>
                <w:rFonts w:ascii="微软雅黑" w:hAnsi="微软雅黑" w:eastAsia="微软雅黑"/>
                <w:b/>
                <w:color w:val="203864"/>
                <w:sz w:val="18"/>
              </w:rPr>
              <w:t>关联事项</w:t>
            </w:r>
          </w:p>
        </w:tc>
        <w:tc>
          <w:tcPr>
            <w:tcW w:w="311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094E4">
            <w:pPr>
              <w:keepNext w:val="0"/>
              <w:spacing w:after="80" w:line="240" w:lineRule="auto" w:before="80"/>
            </w:pPr>
            <w:r>
              <w:rPr>
                <w:rFonts w:ascii="微软雅黑" w:hAnsi="微软雅黑" w:eastAsia="微软雅黑"/>
                <w:b/>
                <w:color w:val="203864"/>
                <w:sz w:val="18"/>
              </w:rPr>
              <w:t>建议动作</w:t>
            </w:r>
          </w:p>
        </w:tc>
        <w:tc>
          <w:tcPr>
            <w:tcW w:w="231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96C74B">
            <w:pPr>
              <w:keepNext w:val="0"/>
              <w:spacing w:after="80" w:line="240" w:lineRule="auto" w:before="80"/>
            </w:pPr>
            <w:r>
              <w:rPr>
                <w:rFonts w:ascii="微软雅黑" w:hAnsi="微软雅黑" w:eastAsia="微软雅黑"/>
                <w:b/>
                <w:color w:val="203864"/>
                <w:sz w:val="18"/>
              </w:rPr>
              <w:t>复检/验收依据</w:t>
            </w:r>
          </w:p>
        </w:tc>
      </w:tr>
      <w:tr w14:paraId="429D4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846E66">
            <w:pPr>
              <w:keepNext w:val="0"/>
              <w:spacing w:after="80" w:line="240" w:lineRule="auto" w:before="80"/>
              <w:jc w:val="left"/>
            </w:pPr>
            <w:sdt>
              <w:sdtPr>
                <w:tag w:val="remediation.0"/>
              </w:sdtPr>
              <w:sdtContent>
                <w:r>
                  <w:rPr>
                    <w:rFonts w:ascii="微软雅黑" w:hAnsi="微软雅黑" w:eastAsia="微软雅黑"/>
                    <w:sz w:val="18"/>
                  </w:rPr>
                  <w:t>待生成</w:t>
                </w:r>
              </w:sdtContent>
            </w:sdt>
          </w:p>
        </w:tc>
        <w:tc>
          <w:tcPr>
            <w:tcW w:w="26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E46B0C">
            <w:pPr>
              <w:keepNext w:val="0"/>
              <w:spacing w:after="80" w:line="240" w:lineRule="auto" w:before="80"/>
              <w:jc w:val="left"/>
            </w:pPr>
            <w:sdt>
              <w:sdtPr>
                <w:tag w:val="remediation.1"/>
              </w:sdtPr>
              <w:sdtContent>
                <w:r>
                  <w:rPr>
                    <w:rFonts w:ascii="微软雅黑" w:hAnsi="微软雅黑" w:eastAsia="微软雅黑"/>
                    <w:sz w:val="18"/>
                  </w:rPr>
                  <w:t>待生成</w:t>
                </w:r>
              </w:sdtContent>
            </w:sdt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E370DD">
            <w:pPr>
              <w:keepNext w:val="0"/>
              <w:spacing w:after="80" w:line="240" w:lineRule="auto" w:before="80"/>
              <w:jc w:val="left"/>
            </w:pPr>
            <w:sdt>
              <w:sdtPr>
                <w:tag w:val="remediation.2"/>
              </w:sdtPr>
              <w:sdtContent>
                <w:r>
                  <w:rPr>
                    <w:rFonts w:ascii="微软雅黑" w:hAnsi="微软雅黑" w:eastAsia="微软雅黑"/>
                    <w:sz w:val="18"/>
                  </w:rPr>
                  <w:t>待生成</w:t>
                </w:r>
              </w:sdtContent>
            </w:sdt>
          </w:p>
        </w:tc>
        <w:tc>
          <w:tcPr>
            <w:tcW w:w="23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D8DC7F">
            <w:pPr>
              <w:keepNext w:val="0"/>
              <w:spacing w:after="80" w:line="240" w:lineRule="auto" w:before="80"/>
              <w:jc w:val="left"/>
            </w:pPr>
            <w:sdt>
              <w:sdtPr>
                <w:tag w:val="remediation.3"/>
              </w:sdtPr>
              <w:sdtContent>
                <w:r>
                  <w:rPr>
                    <w:rFonts w:ascii="微软雅黑" w:hAnsi="微软雅黑" w:eastAsia="微软雅黑"/>
                    <w:sz w:val="18"/>
                  </w:rPr>
                  <w:t>待生成</w:t>
                </w:r>
              </w:sdtContent>
            </w:sdt>
          </w:p>
        </w:tc>
      </w:tr>
    </w:tbl>
    <w:p w14:paraId="1AE4B067">
      <w:pPr>
        <w:pStyle w:val="3"/>
      </w:pPr>
      <w:r>
        <w:t>附录 交付清单与证据索引</w:t>
      </w:r>
    </w:p>
    <w:p w14:paraId="2FECB997">
      <w:pPr>
        <w:pStyle w:val="4"/>
      </w:pPr>
      <w:r>
        <w:t>A 交付文件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4076"/>
        <w:gridCol w:w="2835"/>
      </w:tblGrid>
      <w:tr w14:paraId="58923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6FB98D">
            <w:pPr>
              <w:keepNext w:val="0"/>
              <w:spacing w:after="80" w:line="240" w:lineRule="auto" w:before="80"/>
            </w:pPr>
            <w:r>
              <w:rPr>
                <w:rFonts w:ascii="微软雅黑" w:hAnsi="微软雅黑" w:eastAsia="微软雅黑"/>
                <w:b/>
                <w:color w:val="203864"/>
                <w:sz w:val="18"/>
              </w:rPr>
              <w:t>附件编号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7D1D11">
            <w:pPr>
              <w:keepNext w:val="0"/>
              <w:spacing w:after="80" w:line="240" w:lineRule="auto" w:before="80"/>
            </w:pPr>
            <w:r>
              <w:rPr>
                <w:rFonts w:ascii="微软雅黑" w:hAnsi="微软雅黑" w:eastAsia="微软雅黑"/>
                <w:b/>
                <w:color w:val="203864"/>
                <w:sz w:val="18"/>
              </w:rPr>
              <w:t>文件名称</w:t>
            </w:r>
          </w:p>
        </w:tc>
        <w:tc>
          <w:tcPr>
            <w:tcW w:w="407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3CF04E">
            <w:pPr>
              <w:keepNext w:val="0"/>
              <w:spacing w:after="80" w:line="240" w:lineRule="auto" w:before="80"/>
            </w:pPr>
            <w:r>
              <w:rPr>
                <w:rFonts w:ascii="微软雅黑" w:hAnsi="微软雅黑" w:eastAsia="微软雅黑"/>
                <w:b/>
                <w:color w:val="203864"/>
                <w:sz w:val="18"/>
              </w:rPr>
              <w:t>内容及范围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6908A7">
            <w:pPr>
              <w:keepNext w:val="0"/>
              <w:spacing w:after="80" w:line="240" w:lineRule="auto" w:before="80"/>
            </w:pPr>
            <w:r>
              <w:rPr>
                <w:rFonts w:ascii="微软雅黑" w:hAnsi="微软雅黑" w:eastAsia="微软雅黑"/>
                <w:b/>
                <w:color w:val="203864"/>
                <w:sz w:val="18"/>
              </w:rPr>
              <w:t>交付状态</w:t>
            </w:r>
          </w:p>
        </w:tc>
      </w:tr>
      <w:tr w14:paraId="3CF10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185560">
            <w:pPr>
              <w:keepNext w:val="0"/>
              <w:spacing w:after="80" w:line="240" w:lineRule="auto" w:before="80"/>
              <w:jc w:val="left"/>
            </w:pPr>
            <w:sdt>
              <w:sdtPr>
                <w:tag w:val="deliverables.0"/>
              </w:sdtPr>
              <w:sdtContent>
                <w:r>
                  <w:rPr>
                    <w:rFonts w:ascii="微软雅黑" w:hAnsi="微软雅黑" w:eastAsia="微软雅黑"/>
                    <w:sz w:val="18"/>
                  </w:rPr>
                  <w:t>待生成</w:t>
                </w:r>
              </w:sdtContent>
            </w:sdt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E821B4">
            <w:pPr>
              <w:keepNext w:val="0"/>
              <w:spacing w:after="80" w:line="240" w:lineRule="auto" w:before="80"/>
              <w:jc w:val="left"/>
            </w:pPr>
            <w:sdt>
              <w:sdtPr>
                <w:tag w:val="deliverables.1"/>
              </w:sdtPr>
              <w:sdtContent>
                <w:r>
                  <w:rPr>
                    <w:rFonts w:ascii="微软雅黑" w:hAnsi="微软雅黑" w:eastAsia="微软雅黑"/>
                    <w:sz w:val="18"/>
                  </w:rPr>
                  <w:t>待生成</w:t>
                </w:r>
              </w:sdtContent>
            </w:sdt>
          </w:p>
        </w:tc>
        <w:tc>
          <w:tcPr>
            <w:tcW w:w="40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038946">
            <w:pPr>
              <w:keepNext w:val="0"/>
              <w:spacing w:after="80" w:line="240" w:lineRule="auto" w:before="80"/>
              <w:jc w:val="left"/>
            </w:pPr>
            <w:sdt>
              <w:sdtPr>
                <w:tag w:val="deliverables.2"/>
              </w:sdtPr>
              <w:sdtContent>
                <w:r>
                  <w:rPr>
                    <w:rFonts w:ascii="微软雅黑" w:hAnsi="微软雅黑" w:eastAsia="微软雅黑"/>
                    <w:sz w:val="18"/>
                  </w:rPr>
                  <w:t>待生成</w:t>
                </w:r>
              </w:sdtContent>
            </w:sdt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432FB5">
            <w:pPr>
              <w:keepNext w:val="0"/>
              <w:spacing w:after="80" w:line="240" w:lineRule="auto" w:before="80"/>
              <w:jc w:val="left"/>
            </w:pPr>
            <w:sdt>
              <w:sdtPr>
                <w:tag w:val="deliverables.3"/>
              </w:sdtPr>
              <w:sdtContent>
                <w:r>
                  <w:rPr>
                    <w:rFonts w:ascii="微软雅黑" w:hAnsi="微软雅黑" w:eastAsia="微软雅黑"/>
                    <w:sz w:val="18"/>
                  </w:rPr>
                  <w:t>待生成</w:t>
                </w:r>
              </w:sdtContent>
            </w:sdt>
          </w:p>
        </w:tc>
      </w:tr>
    </w:tbl>
    <w:p w14:paraId="22ECE96A">
      <w:pPr>
        <w:spacing w:before="0" w:after="0" w:line="120" w:lineRule="auto"/>
      </w:pPr>
    </w:p>
    <w:p w14:paraId="419F6241">
      <w:pPr>
        <w:pStyle w:val="4"/>
      </w:pPr>
      <w:r>
        <w:t>B 配置备份说明</w:t>
      </w:r>
    </w:p>
    <w:p w14:paraId="62113A32">
      <w:pPr>
        <w:jc w:val="left"/>
      </w:pPr>
      <w:sdt>
        <w:sdtPr>
          <w:tag w:val="backup.disclosure"/>
        </w:sdtPr>
        <w:sdtContent>
          <w:r>
            <w:t>待生成</w:t>
          </w:r>
        </w:sdtContent>
      </w:sdt>
    </w:p>
    <w:p w14:paraId="3BAC4B65">
      <w:pPr>
        <w:pStyle w:val="4"/>
      </w:pPr>
      <w:r>
        <w:rPr>
          <w:rFonts w:hint="eastAsia" w:eastAsia="宋体"/>
          <w:lang w:val="en-US" w:eastAsia="zh-CN"/>
        </w:rPr>
        <w:t>C</w:t>
      </w:r>
      <w:r>
        <w:t xml:space="preserve"> 结果用语</w:t>
      </w:r>
    </w:p>
    <w:p w14:paraId="10BF3155">
      <w:r>
        <w:t>健康评估使用正常、异常、无法判断、不适用，并同时保留覆盖情况；事实记录使用记录完成、部分记录、未取得数据；周期比较使用发现变化、未发现变化、无法比较。不同类型结果不混为同一个健康率。</w:t>
      </w:r>
    </w:p>
    <w:sectPr>
      <w:headerReference r:id="rId5" w:type="default"/>
      <w:footerReference r:id="rId6" w:type="default"/>
      <w:pgSz w:w="12240" w:h="15840"/>
      <w:pgMar w:top="964" w:right="964" w:bottom="964" w:left="964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059">
    <w:altName w:val="FFont-Family"/>
    <w:panose1 w:val="00000500000000000000"/>
    <w:charset w:val="00"/>
    <w:family w:val="auto"/>
    <w:pitch w:val="default"/>
    <w:sig w:usb0="00000000" w:usb1="00000000" w:usb2="00000000" w:usb3="00000000" w:csb0="6000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宋体"/>
    <w:panose1 w:val="020B0500000000000000"/>
    <w:charset w:val="86"/>
    <w:family w:val="auto"/>
    <w:pitch w:val="default"/>
    <w:sig w:usb0="00000000" w:usb1="00000000" w:usb2="00000016" w:usb3="00000000" w:csb0="602E0107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0E56B">
    <w:pPr>
      <w:pStyle w:val="24"/>
      <w:jc w:val="center"/>
    </w:pPr>
    <w:r>
      <w:rPr>
        <w:rFonts w:ascii="Noto Sans CJK SC" w:hAnsi="Noto Sans CJK SC" w:eastAsia="Noto Sans CJK SC"/>
        <w:color w:val="6B7280"/>
        <w:sz w:val="16"/>
      </w:rPr>
      <w:t>本报告基于离线采集材料生成；结论仅反映采集时点及实际覆盖范围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71ED5">
    <w:pPr>
      <w:pStyle w:val="25"/>
      <w:jc w:val="right"/>
    </w:pPr>
    <w:r>
      <w:t>网络设备巡检报告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FF981C"/>
    <w:rsid w:val="2C3C6449"/>
    <w:rsid w:val="76E3FAC6"/>
    <w:rsid w:val="EFFA0C5D"/>
    <w:rsid w:val="FDBD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44A73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44A73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330</Words>
  <Characters>430</Characters>
  <Lines>0</Lines>
  <Paragraphs>0</Paragraphs>
  <TotalTime>0</TotalTime>
  <ScaleCrop>false</ScaleCrop>
  <LinksUpToDate>false</LinksUpToDate>
  <CharactersWithSpaces>450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user</dc:creator>
  <dc:description>generated by python-docx</dc:description>
  <cp:keywords>network inspection, patrol report</cp:keywords>
  <cp:lastModifiedBy>微信用户</cp:lastModifiedBy>
  <dcterms:modified xsi:type="dcterms:W3CDTF">2026-09-07T15:06:23Z</dcterms:modified>
  <dc:subject>基于离线巡检材料的客户可读版巡检报告</dc:subject>
  <dc:title>网络设备巡检报告（重构示例）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268E49FFB13D7CACE1869E6A4FDB9EEE</vt:lpwstr>
  </property>
  <property fmtid="{D5CDD505-2E9C-101B-9397-08002B2CF9AE}" pid="4" name="KSOTemplateDocerSaveRecord">
    <vt:lpwstr>eyJoZGlkIjoiYmE2MDM1MDEwM2U0YmJmYzljNmY4YTgzODVhZWQyOTAiLCJ1c2VySWQiOiIxMjc2Nzg2MDE0In0=</vt:lpwstr>
  </property>
</Properties>
</file>