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A11" w:rsidRDefault="0077491A" w:rsidP="00F46445">
      <w:pPr>
        <w:jc w:val="left"/>
      </w:pPr>
      <w:r>
        <w:t>Research line 3</w:t>
      </w:r>
      <w:r w:rsidR="00266A11">
        <w:t xml:space="preserve">. </w:t>
      </w:r>
    </w:p>
    <w:p w:rsidR="00266A11" w:rsidRPr="0077491A" w:rsidRDefault="0077491A" w:rsidP="0077491A">
      <w:pPr>
        <w:jc w:val="center"/>
        <w:rPr>
          <w:b/>
        </w:rPr>
        <w:sectPr w:rsidR="00266A11" w:rsidRPr="0077491A" w:rsidSect="00266A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7491A">
        <w:rPr>
          <w:b/>
        </w:rPr>
        <w:t>Innovative diagnostic protocols for Fast Field Cycling NMR/MRI</w:t>
      </w:r>
    </w:p>
    <w:p w:rsidR="0077491A" w:rsidRPr="0077491A" w:rsidRDefault="0077491A" w:rsidP="0077491A">
      <w:pPr>
        <w:spacing w:after="0"/>
        <w:rPr>
          <w:b/>
          <w:bCs/>
          <w:sz w:val="18"/>
          <w:szCs w:val="18"/>
        </w:rPr>
      </w:pPr>
      <w:r w:rsidRPr="0077491A">
        <w:rPr>
          <w:b/>
          <w:bCs/>
          <w:sz w:val="18"/>
          <w:szCs w:val="18"/>
        </w:rPr>
        <w:t>Evidence for the Role of Intracellular Water Lifetime as a Tumour</w:t>
      </w:r>
    </w:p>
    <w:p w:rsidR="0077491A" w:rsidRDefault="0077491A" w:rsidP="0077491A">
      <w:pPr>
        <w:spacing w:after="0"/>
        <w:jc w:val="center"/>
        <w:rPr>
          <w:b/>
          <w:bCs/>
          <w:sz w:val="18"/>
          <w:szCs w:val="18"/>
        </w:rPr>
      </w:pPr>
      <w:r w:rsidRPr="0077491A">
        <w:rPr>
          <w:b/>
          <w:bCs/>
          <w:sz w:val="18"/>
          <w:szCs w:val="18"/>
        </w:rPr>
        <w:t xml:space="preserve">Biomarker Obtained by In Vivo Field-Cycling </w:t>
      </w:r>
      <w:proofErr w:type="spellStart"/>
      <w:r w:rsidRPr="0077491A">
        <w:rPr>
          <w:b/>
          <w:bCs/>
          <w:sz w:val="18"/>
          <w:szCs w:val="18"/>
        </w:rPr>
        <w:t>Relaxometry</w:t>
      </w:r>
      <w:proofErr w:type="spellEnd"/>
    </w:p>
    <w:p w:rsidR="0077491A" w:rsidRDefault="0077491A" w:rsidP="0077491A">
      <w:pPr>
        <w:spacing w:after="0"/>
        <w:jc w:val="center"/>
        <w:rPr>
          <w:b/>
          <w:bCs/>
          <w:sz w:val="18"/>
          <w:szCs w:val="18"/>
        </w:rPr>
      </w:pPr>
    </w:p>
    <w:p w:rsidR="0077491A" w:rsidRPr="0077491A" w:rsidRDefault="0077491A" w:rsidP="0077491A">
      <w:pPr>
        <w:spacing w:after="0"/>
        <w:rPr>
          <w:sz w:val="18"/>
          <w:szCs w:val="18"/>
        </w:rPr>
      </w:pPr>
      <w:r w:rsidRPr="0077491A">
        <w:rPr>
          <w:bCs/>
          <w:noProof/>
          <w:sz w:val="18"/>
          <w:szCs w:val="18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593090</wp:posOffset>
            </wp:positionV>
            <wp:extent cx="1911600" cy="4125600"/>
            <wp:effectExtent l="0" t="0" r="0" b="8255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0" cy="41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91A">
        <w:rPr>
          <w:sz w:val="18"/>
          <w:szCs w:val="18"/>
        </w:rPr>
        <w:t>It was established through in vivo T1 measurements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at low magnetic fields that tumour cells display proton T1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values that are markedly longer than those shown by healthy</w:t>
      </w:r>
      <w:r>
        <w:rPr>
          <w:sz w:val="18"/>
          <w:szCs w:val="18"/>
        </w:rPr>
        <w:t xml:space="preserve"> </w:t>
      </w:r>
      <w:proofErr w:type="gramStart"/>
      <w:r w:rsidRPr="0077491A">
        <w:rPr>
          <w:sz w:val="18"/>
          <w:szCs w:val="18"/>
        </w:rPr>
        <w:t>tissue</w:t>
      </w:r>
      <w:proofErr w:type="gramEnd"/>
      <w:r w:rsidRPr="0077491A">
        <w:rPr>
          <w:sz w:val="18"/>
          <w:szCs w:val="18"/>
        </w:rPr>
        <w:t xml:space="preserve">. Moreover, it </w:t>
      </w:r>
      <w:proofErr w:type="gramStart"/>
      <w:r w:rsidRPr="0077491A">
        <w:rPr>
          <w:sz w:val="18"/>
          <w:szCs w:val="18"/>
        </w:rPr>
        <w:t>has been found</w:t>
      </w:r>
      <w:proofErr w:type="gramEnd"/>
      <w:r w:rsidRPr="0077491A">
        <w:rPr>
          <w:sz w:val="18"/>
          <w:szCs w:val="18"/>
        </w:rPr>
        <w:t xml:space="preserve"> that the elongation of T1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parallels the aggressiveness of the investigated tumour. The T1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lengthening is associated with an enhanced water exchange rate</w:t>
      </w:r>
    </w:p>
    <w:p w:rsidR="0077491A" w:rsidRPr="0077491A" w:rsidRDefault="0077491A" w:rsidP="0077491A">
      <w:pPr>
        <w:spacing w:after="0"/>
        <w:rPr>
          <w:sz w:val="18"/>
          <w:szCs w:val="18"/>
        </w:rPr>
      </w:pPr>
      <w:proofErr w:type="gramStart"/>
      <w:r w:rsidRPr="0077491A">
        <w:rPr>
          <w:sz w:val="18"/>
          <w:szCs w:val="18"/>
        </w:rPr>
        <w:t>across</w:t>
      </w:r>
      <w:proofErr w:type="gramEnd"/>
      <w:r w:rsidRPr="0077491A">
        <w:rPr>
          <w:sz w:val="18"/>
          <w:szCs w:val="18"/>
        </w:rPr>
        <w:t xml:space="preserve"> the </w:t>
      </w:r>
      <w:proofErr w:type="spellStart"/>
      <w:r w:rsidRPr="0077491A">
        <w:rPr>
          <w:sz w:val="18"/>
          <w:szCs w:val="18"/>
        </w:rPr>
        <w:t>transcytolemmal</w:t>
      </w:r>
      <w:proofErr w:type="spellEnd"/>
      <w:r w:rsidRPr="0077491A">
        <w:rPr>
          <w:sz w:val="18"/>
          <w:szCs w:val="18"/>
        </w:rPr>
        <w:t xml:space="preserve"> membrane through an overexpression/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upregulation of GLUT1 and Na+/K+ ATPase transporters.</w:t>
      </w:r>
    </w:p>
    <w:p w:rsidR="00FF4EF9" w:rsidRDefault="0077491A" w:rsidP="0077491A">
      <w:pPr>
        <w:spacing w:after="0"/>
        <w:rPr>
          <w:sz w:val="18"/>
          <w:szCs w:val="18"/>
        </w:rPr>
      </w:pPr>
      <w:r w:rsidRPr="0077491A">
        <w:rPr>
          <w:sz w:val="18"/>
          <w:szCs w:val="18"/>
        </w:rPr>
        <w:t>It follows that the intracellular water lifetime represents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 xml:space="preserve">a hallmark of tumour cells that </w:t>
      </w:r>
      <w:proofErr w:type="gramStart"/>
      <w:r w:rsidRPr="0077491A">
        <w:rPr>
          <w:sz w:val="18"/>
          <w:szCs w:val="18"/>
        </w:rPr>
        <w:t>can be easily monitored</w:t>
      </w:r>
      <w:proofErr w:type="gramEnd"/>
      <w:r w:rsidRPr="0077491A">
        <w:rPr>
          <w:sz w:val="18"/>
          <w:szCs w:val="18"/>
        </w:rPr>
        <w:t xml:space="preserve"> by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measuring T1 at different magnetic field strengths ranging from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 xml:space="preserve">0.2 to 200 </w:t>
      </w:r>
      <w:proofErr w:type="spellStart"/>
      <w:r w:rsidRPr="0077491A">
        <w:rPr>
          <w:sz w:val="18"/>
          <w:szCs w:val="18"/>
        </w:rPr>
        <w:t>mT.</w:t>
      </w:r>
      <w:proofErr w:type="spellEnd"/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  <w:r w:rsidRPr="0077491A">
        <w:rPr>
          <w:noProof/>
          <w:sz w:val="18"/>
          <w:szCs w:val="18"/>
          <w:lang w:eastAsia="en-GB"/>
        </w:rPr>
        <w:drawing>
          <wp:inline distT="0" distB="0" distL="0" distR="0">
            <wp:extent cx="3094355" cy="180994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91A" w:rsidRDefault="0077491A" w:rsidP="0077491A">
      <w:pPr>
        <w:spacing w:after="0"/>
        <w:rPr>
          <w:sz w:val="18"/>
          <w:szCs w:val="18"/>
        </w:rPr>
      </w:pPr>
    </w:p>
    <w:p w:rsidR="0077491A" w:rsidRDefault="0077491A" w:rsidP="0077491A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Figure. </w:t>
      </w:r>
      <w:r w:rsidRPr="0077491A">
        <w:rPr>
          <w:sz w:val="18"/>
          <w:szCs w:val="18"/>
        </w:rPr>
        <w:t>The water exchange regime and the resulting MZ value in a schematic representation of the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relationship between the compartmentalized system formed by the IN and the EX space. In the case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 xml:space="preserve">of intermediate exchange, </w:t>
      </w:r>
      <w:proofErr w:type="spellStart"/>
      <w:r w:rsidRPr="0077491A">
        <w:rPr>
          <w:sz w:val="18"/>
          <w:szCs w:val="18"/>
        </w:rPr>
        <w:t>aS</w:t>
      </w:r>
      <w:proofErr w:type="spellEnd"/>
      <w:r w:rsidRPr="0077491A">
        <w:rPr>
          <w:sz w:val="18"/>
          <w:szCs w:val="18"/>
        </w:rPr>
        <w:t xml:space="preserve"> and R1S are the fraction and the rate constant for the apparent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component with the shorter T1 (R1S=1/T1S); (1</w:t>
      </w:r>
      <w:r w:rsidRPr="0077491A">
        <w:rPr>
          <w:sz w:val="18"/>
          <w:szCs w:val="18"/>
        </w:rPr>
        <w:separator/>
      </w:r>
      <w:proofErr w:type="spellStart"/>
      <w:r w:rsidRPr="0077491A">
        <w:rPr>
          <w:sz w:val="18"/>
          <w:szCs w:val="18"/>
        </w:rPr>
        <w:t>aS</w:t>
      </w:r>
      <w:proofErr w:type="spellEnd"/>
      <w:proofErr w:type="gramStart"/>
      <w:r w:rsidRPr="0077491A">
        <w:rPr>
          <w:sz w:val="18"/>
          <w:szCs w:val="18"/>
        </w:rPr>
        <w:t>)=</w:t>
      </w:r>
      <w:proofErr w:type="spellStart"/>
      <w:proofErr w:type="gramEnd"/>
      <w:r w:rsidRPr="0077491A">
        <w:rPr>
          <w:sz w:val="18"/>
          <w:szCs w:val="18"/>
        </w:rPr>
        <w:t>aL</w:t>
      </w:r>
      <w:proofErr w:type="spellEnd"/>
      <w:r w:rsidRPr="0077491A">
        <w:rPr>
          <w:sz w:val="18"/>
          <w:szCs w:val="18"/>
        </w:rPr>
        <w:t xml:space="preserve"> and R1L are the fraction and rate constant for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the apparent component with the longer T1 (R1L=1/T1L), and t is the running time for recovery by</w:t>
      </w:r>
      <w:r>
        <w:rPr>
          <w:sz w:val="18"/>
          <w:szCs w:val="18"/>
        </w:rPr>
        <w:t xml:space="preserve"> </w:t>
      </w:r>
      <w:r w:rsidRPr="0077491A">
        <w:rPr>
          <w:sz w:val="18"/>
          <w:szCs w:val="18"/>
        </w:rPr>
        <w:t>relaxation.</w:t>
      </w:r>
    </w:p>
    <w:p w:rsidR="00EB007B" w:rsidRDefault="00EB007B" w:rsidP="00FF4EF9">
      <w:pPr>
        <w:spacing w:after="0"/>
        <w:rPr>
          <w:b/>
          <w:color w:val="0033CC"/>
          <w:sz w:val="18"/>
          <w:szCs w:val="18"/>
        </w:rPr>
      </w:pPr>
      <w:bookmarkStart w:id="0" w:name="_GoBack"/>
      <w:bookmarkEnd w:id="0"/>
    </w:p>
    <w:p w:rsidR="004D0CE6" w:rsidRDefault="00FF4EF9" w:rsidP="00380949">
      <w:pPr>
        <w:spacing w:after="0"/>
        <w:rPr>
          <w:sz w:val="18"/>
          <w:szCs w:val="18"/>
        </w:rPr>
      </w:pPr>
      <w:r w:rsidRPr="00FF4EF9">
        <w:rPr>
          <w:b/>
          <w:color w:val="0033CC"/>
          <w:sz w:val="18"/>
          <w:szCs w:val="18"/>
        </w:rPr>
        <w:t xml:space="preserve">Ref </w:t>
      </w:r>
      <w:proofErr w:type="spellStart"/>
      <w:r w:rsidR="00610847">
        <w:rPr>
          <w:rFonts w:cs="AdvTT50a2f13e.I"/>
          <w:color w:val="0033CC"/>
          <w:sz w:val="18"/>
          <w:szCs w:val="18"/>
        </w:rPr>
        <w:t>ruggiero</w:t>
      </w:r>
      <w:proofErr w:type="spellEnd"/>
      <w:r w:rsidR="00610847">
        <w:rPr>
          <w:rFonts w:cs="AdvTT50a2f13e.I"/>
          <w:color w:val="0033CC"/>
          <w:sz w:val="18"/>
          <w:szCs w:val="18"/>
        </w:rPr>
        <w:t xml:space="preserve"> MR </w:t>
      </w:r>
      <w:proofErr w:type="gramStart"/>
      <w:r w:rsidRPr="00993AF9">
        <w:rPr>
          <w:rFonts w:cs="AdvTT50a2f13e.I"/>
          <w:color w:val="0033CC"/>
          <w:sz w:val="18"/>
          <w:szCs w:val="18"/>
        </w:rPr>
        <w:t>et</w:t>
      </w:r>
      <w:proofErr w:type="gramEnd"/>
      <w:r w:rsidRPr="00993AF9">
        <w:rPr>
          <w:rFonts w:cs="AdvTT50a2f13e.I"/>
          <w:color w:val="0033CC"/>
          <w:sz w:val="18"/>
          <w:szCs w:val="18"/>
        </w:rPr>
        <w:t xml:space="preserve"> </w:t>
      </w:r>
      <w:proofErr w:type="spellStart"/>
      <w:r w:rsidR="00610847" w:rsidRPr="00610847">
        <w:rPr>
          <w:rFonts w:cs="AdvTT50a2f13e.I"/>
          <w:color w:val="0033CC"/>
          <w:sz w:val="18"/>
          <w:szCs w:val="18"/>
        </w:rPr>
        <w:t>Angew</w:t>
      </w:r>
      <w:proofErr w:type="spellEnd"/>
      <w:r w:rsidR="00610847" w:rsidRPr="00610847">
        <w:rPr>
          <w:rFonts w:cs="AdvTT50a2f13e.I"/>
          <w:color w:val="0033CC"/>
          <w:sz w:val="18"/>
          <w:szCs w:val="18"/>
        </w:rPr>
        <w:t>. Chem. Int. Ed. 2018, 57, 1 – 6</w:t>
      </w:r>
    </w:p>
    <w:p w:rsidR="004D0CE6" w:rsidRDefault="004D0CE6" w:rsidP="004D0CE6">
      <w:pPr>
        <w:spacing w:after="0" w:line="240" w:lineRule="auto"/>
        <w:jc w:val="center"/>
        <w:rPr>
          <w:sz w:val="18"/>
          <w:szCs w:val="18"/>
        </w:rPr>
      </w:pPr>
    </w:p>
    <w:p w:rsidR="00F35998" w:rsidRPr="00EB007B" w:rsidRDefault="00F35998" w:rsidP="00DB2C25">
      <w:pPr>
        <w:spacing w:after="0"/>
        <w:rPr>
          <w:sz w:val="18"/>
          <w:szCs w:val="18"/>
        </w:rPr>
      </w:pPr>
    </w:p>
    <w:sectPr w:rsidR="00F35998" w:rsidRPr="00EB007B" w:rsidSect="0077491A">
      <w:type w:val="continuous"/>
      <w:pgSz w:w="11906" w:h="16838"/>
      <w:pgMar w:top="284" w:right="720" w:bottom="284" w:left="720" w:header="709" w:footer="709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dvTT50a2f13e.I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A11"/>
    <w:rsid w:val="0002605F"/>
    <w:rsid w:val="000C27BC"/>
    <w:rsid w:val="00163188"/>
    <w:rsid w:val="00266A11"/>
    <w:rsid w:val="00380949"/>
    <w:rsid w:val="004D0CE6"/>
    <w:rsid w:val="00512F25"/>
    <w:rsid w:val="00610847"/>
    <w:rsid w:val="007439B7"/>
    <w:rsid w:val="0077491A"/>
    <w:rsid w:val="00861340"/>
    <w:rsid w:val="008B0200"/>
    <w:rsid w:val="008F6FCE"/>
    <w:rsid w:val="00993AF9"/>
    <w:rsid w:val="00A52D71"/>
    <w:rsid w:val="00C05D26"/>
    <w:rsid w:val="00CA494B"/>
    <w:rsid w:val="00CD4D00"/>
    <w:rsid w:val="00D25428"/>
    <w:rsid w:val="00DB2C25"/>
    <w:rsid w:val="00E948AB"/>
    <w:rsid w:val="00EB007B"/>
    <w:rsid w:val="00F35998"/>
    <w:rsid w:val="00F46445"/>
    <w:rsid w:val="00FB11A3"/>
    <w:rsid w:val="00FF4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0B7196-F34C-43E9-8CD5-BF7655865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pPr>
      <w:spacing w:after="200" w:line="27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efault">
    <w:name w:val="Default"/>
    <w:rsid w:val="00266A11"/>
    <w:pPr>
      <w:autoSpaceDE w:val="0"/>
      <w:autoSpaceDN w:val="0"/>
      <w:adjustRightInd w:val="0"/>
      <w:jc w:val="left"/>
    </w:pPr>
    <w:rPr>
      <w:rFonts w:ascii="Verdana" w:hAnsi="Verdana" w:cs="Verdan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Simonetta</dc:creator>
  <cp:keywords/>
  <dc:description/>
  <cp:lastModifiedBy>Simonetta</cp:lastModifiedBy>
  <cp:revision>7</cp:revision>
  <dcterms:created xsi:type="dcterms:W3CDTF">2018-04-16T15:30:00Z</dcterms:created>
  <dcterms:modified xsi:type="dcterms:W3CDTF">2018-04-17T08:54:00Z</dcterms:modified>
</cp:coreProperties>
</file>