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50"/>
            <w:vAlign w:val="center"/>
          </w:tcPr>
          <w:p>
            <w:pPr>
              <w:spacing w:before="0" w:after="20" w:line="247" w:lineRule="auto"/>
            </w:pPr>
            <w:r>
              <w:rPr>
                <w:rFonts w:ascii="Arial" w:hAnsi="Arial" w:eastAsia="PingFang SC"/>
                <w:b/>
                <w:color w:val="1C1C1C"/>
                <w:sz w:val="44"/>
              </w:rPr>
              <w:t>韦东波</w:t>
            </w:r>
          </w:p>
          <w:p>
            <w:pPr>
              <w:spacing w:before="0" w:after="20" w:line="247" w:lineRule="auto"/>
            </w:pPr>
            <w:r>
              <w:rPr>
                <w:rFonts w:ascii="Arial" w:hAnsi="Arial" w:eastAsia="PingFang SC"/>
                <w:b w:val="0"/>
                <w:color w:val="1C1C1C"/>
                <w:sz w:val="20"/>
              </w:rPr>
              <w:t>AI应用 / 机器人生态工程师｜RAG / Agent / SDK</w:t>
            </w:r>
          </w:p>
          <w:p>
            <w:pPr>
              <w:spacing w:before="0" w:after="10" w:line="247" w:lineRule="auto"/>
            </w:pPr>
            <w:r>
              <w:rPr>
                <w:rFonts w:ascii="Arial" w:hAnsi="Arial" w:eastAsia="PingFang SC"/>
                <w:b w:val="0"/>
                <w:color w:val="5A5A5A"/>
                <w:sz w:val="17"/>
              </w:rPr>
              <w:t>深圳｜2 年工作经验｜181 7224 4940｜12132301@mail.sustech.edu.cn｜github.com/ZeroErrControl</w:t>
            </w:r>
          </w:p>
        </w:tc>
        <w:tc>
          <w:tcPr>
            <w:tcW w:type="dxa" w:w="1250"/>
            <w:vAlign w:val="center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76656" cy="83977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职业照_简历头像_圆角4x5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656" cy="8397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110" w:after="40" w:line="247" w:lineRule="auto"/>
        <w:pBdr>
          <w:bottom w:val="single" w:sz="6" w:space="2" w:color="B8C7D6"/>
        </w:pBdr>
      </w:pPr>
      <w:r>
        <w:rPr>
          <w:rFonts w:ascii="Arial" w:hAnsi="Arial" w:eastAsia="PingFang SC"/>
          <w:b/>
          <w:color w:val="174F80"/>
          <w:sz w:val="22"/>
        </w:rPr>
        <w:t>个人概述</w:t>
      </w:r>
    </w:p>
    <w:p>
      <w:pPr>
        <w:spacing w:before="0" w:after="30" w:line="245" w:lineRule="auto"/>
      </w:pPr>
      <w:r>
        <w:rPr>
          <w:rFonts w:ascii="Arial" w:hAnsi="Arial" w:eastAsia="PingFang SC"/>
          <w:b w:val="0"/>
          <w:color w:val="1C1C1C"/>
          <w:sz w:val="17"/>
        </w:rPr>
        <w:t>机器人关节模组企业 AI 系统负责人 / 机器人软件工程师，具备“机器人底层系统 + 企业级 AI 应用 + 开发者生态”的复合经验。能从 0 到 1 搭建 RAG / Agent / 知识库 / SDK / 文档体系，把客户问题、产品资料和研发经验转化为可检索、可评测、可复用的工程基础设施。</w:t>
      </w:r>
    </w:p>
    <w:p>
      <w:pPr>
        <w:keepNext/>
        <w:spacing w:before="110" w:after="40" w:line="247" w:lineRule="auto"/>
        <w:pBdr>
          <w:bottom w:val="single" w:sz="6" w:space="2" w:color="B8C7D6"/>
        </w:pBdr>
      </w:pPr>
      <w:r>
        <w:rPr>
          <w:rFonts w:ascii="Arial" w:hAnsi="Arial" w:eastAsia="PingFang SC"/>
          <w:b/>
          <w:color w:val="174F80"/>
          <w:sz w:val="22"/>
        </w:rPr>
        <w:t>能力关键词</w:t>
      </w:r>
    </w:p>
    <w:p>
      <w:pPr>
        <w:spacing w:before="0" w:after="24" w:line="245" w:lineRule="auto"/>
      </w:pPr>
      <w:r>
        <w:rPr>
          <w:rFonts w:ascii="Arial" w:hAnsi="Arial" w:eastAsia="PingFang SC"/>
          <w:b/>
          <w:color w:val="174F80"/>
          <w:sz w:val="17"/>
        </w:rPr>
        <w:t>AI 应用与数据基建：</w:t>
      </w:r>
      <w:r>
        <w:rPr>
          <w:rFonts w:ascii="Arial" w:hAnsi="Arial" w:eastAsia="PingFang SC"/>
          <w:b w:val="0"/>
          <w:color w:val="1C1C1C"/>
          <w:sz w:val="17"/>
        </w:rPr>
        <w:t>RAG / Agent / 文档解析 / 知识切分 / 混合检索 / 重排 / Evidence API / 自动化评测</w:t>
      </w:r>
    </w:p>
    <w:p>
      <w:pPr>
        <w:spacing w:before="0" w:after="24" w:line="245" w:lineRule="auto"/>
      </w:pPr>
      <w:r>
        <w:rPr>
          <w:rFonts w:ascii="Arial" w:hAnsi="Arial" w:eastAsia="PingFang SC"/>
          <w:b/>
          <w:color w:val="174F80"/>
          <w:sz w:val="17"/>
        </w:rPr>
        <w:t>工程落地：</w:t>
      </w:r>
      <w:r>
        <w:rPr>
          <w:rFonts w:ascii="Arial" w:hAnsi="Arial" w:eastAsia="PingFang SC"/>
          <w:b w:val="0"/>
          <w:color w:val="1C1C1C"/>
          <w:sz w:val="17"/>
        </w:rPr>
        <w:t>Python / FastAPI / CLI / OpenAI-compatible API / OpenWebUI / Dify / LangChain / 私有化模型部署</w:t>
      </w:r>
    </w:p>
    <w:p>
      <w:pPr>
        <w:spacing w:before="0" w:after="24" w:line="245" w:lineRule="auto"/>
      </w:pPr>
      <w:r>
        <w:rPr>
          <w:rFonts w:ascii="Arial" w:hAnsi="Arial" w:eastAsia="PingFang SC"/>
          <w:b/>
          <w:color w:val="174F80"/>
          <w:sz w:val="17"/>
        </w:rPr>
        <w:t>机器人生态：</w:t>
      </w:r>
      <w:r>
        <w:rPr>
          <w:rFonts w:ascii="Arial" w:hAnsi="Arial" w:eastAsia="PingFang SC"/>
          <w:b w:val="0"/>
          <w:color w:val="1C1C1C"/>
          <w:sz w:val="17"/>
        </w:rPr>
        <w:t>EtherCAT / CANopen / CAN / ROS2 / MoveIt / URDF / SDK / 技术文档 / 开源案例</w:t>
      </w:r>
    </w:p>
    <w:p>
      <w:pPr>
        <w:spacing w:before="0" w:after="24" w:line="245" w:lineRule="auto"/>
      </w:pPr>
      <w:r>
        <w:rPr>
          <w:rFonts w:ascii="Arial" w:hAnsi="Arial" w:eastAsia="PingFang SC"/>
          <w:b/>
          <w:color w:val="174F80"/>
          <w:sz w:val="17"/>
        </w:rPr>
        <w:t>AI 工具研发能力：</w:t>
      </w:r>
      <w:r>
        <w:rPr>
          <w:rFonts w:ascii="Arial" w:hAnsi="Arial" w:eastAsia="PingFang SC"/>
          <w:b w:val="0"/>
          <w:color w:val="1C1C1C"/>
          <w:sz w:val="17"/>
        </w:rPr>
        <w:t>Codex / Claude Code / Cursor / Manus / 多 Agent 协作 / 复杂问题拆解 / 代码生成与审查</w:t>
      </w:r>
    </w:p>
    <w:p>
      <w:pPr>
        <w:keepNext/>
        <w:spacing w:before="110" w:after="40" w:line="247" w:lineRule="auto"/>
        <w:pBdr>
          <w:bottom w:val="single" w:sz="6" w:space="2" w:color="B8C7D6"/>
        </w:pBdr>
      </w:pPr>
      <w:r>
        <w:rPr>
          <w:rFonts w:ascii="Arial" w:hAnsi="Arial" w:eastAsia="PingFang SC"/>
          <w:b/>
          <w:color w:val="174F80"/>
          <w:sz w:val="22"/>
        </w:rPr>
        <w:t>工作经历</w:t>
      </w:r>
    </w:p>
    <w:p>
      <w:pPr>
        <w:keepNext/>
        <w:tabs>
          <w:tab w:pos="9216" w:val="right"/>
        </w:tabs>
        <w:spacing w:before="40" w:after="20" w:line="247" w:lineRule="auto"/>
      </w:pPr>
      <w:r>
        <w:rPr>
          <w:rFonts w:ascii="Arial" w:hAnsi="Arial" w:eastAsia="PingFang SC"/>
          <w:b/>
          <w:color w:val="1C1C1C"/>
          <w:sz w:val="19"/>
        </w:rPr>
        <w:t>深圳市零差云控科技有限公司</w:t>
      </w:r>
      <w:r>
        <w:rPr>
          <w:rFonts w:ascii="Arial" w:hAnsi="Arial" w:eastAsia="PingFang SC"/>
          <w:b/>
          <w:color w:val="174F80"/>
          <w:sz w:val="18"/>
        </w:rPr>
        <w:t>｜AI 系统负责人 / 机器人软件工程师</w:t>
      </w:r>
      <w:r>
        <w:rPr>
          <w:rFonts w:ascii="Arial" w:hAnsi="Arial" w:eastAsia="PingFang SC"/>
          <w:b w:val="0"/>
          <w:color w:val="5A5A5A"/>
          <w:sz w:val="17"/>
        </w:rPr>
        <w:tab/>
        <w:t>2024.07 - 至今</w:t>
      </w:r>
    </w:p>
    <w:p>
      <w:pPr>
        <w:spacing w:before="0" w:after="28" w:line="245" w:lineRule="auto"/>
        <w:ind w:left="204" w:hanging="102"/>
      </w:pPr>
      <w:r>
        <w:rPr>
          <w:rFonts w:ascii="Arial" w:hAnsi="Arial" w:eastAsia="PingFang SC"/>
          <w:b w:val="0"/>
          <w:color w:val="1C1C1C"/>
          <w:sz w:val="17"/>
        </w:rPr>
        <w:t xml:space="preserve">• </w:t>
      </w:r>
      <w:r>
        <w:rPr>
          <w:rFonts w:ascii="Arial" w:hAnsi="Arial" w:eastAsia="PingFang SC"/>
          <w:b w:val="0"/>
          <w:color w:val="1C1C1C"/>
          <w:sz w:val="17"/>
        </w:rPr>
        <w:t>主导 ZeroErr GPT / TechChat 企业级售后知识问答系统，从基础设施、模型部署、数据清洗到 RAG 核心链路全流程落地。</w:t>
      </w:r>
    </w:p>
    <w:p>
      <w:pPr>
        <w:spacing w:before="0" w:after="28" w:line="245" w:lineRule="auto"/>
        <w:ind w:left="204" w:hanging="102"/>
      </w:pPr>
      <w:r>
        <w:rPr>
          <w:rFonts w:ascii="Arial" w:hAnsi="Arial" w:eastAsia="PingFang SC"/>
          <w:b w:val="0"/>
          <w:color w:val="1C1C1C"/>
          <w:sz w:val="17"/>
        </w:rPr>
        <w:t xml:space="preserve">• </w:t>
      </w:r>
      <w:r>
        <w:rPr>
          <w:rFonts w:ascii="Arial" w:hAnsi="Arial" w:eastAsia="PingFang SC"/>
          <w:b w:val="0"/>
          <w:color w:val="1C1C1C"/>
          <w:sz w:val="17"/>
        </w:rPr>
        <w:t>将产品手册、通信协议、FAQ、售后经验、表格和图片资料治理为可检索、可引用、可评测的企业知识服务。</w:t>
      </w:r>
    </w:p>
    <w:p>
      <w:pPr>
        <w:spacing w:before="0" w:after="28" w:line="245" w:lineRule="auto"/>
        <w:ind w:left="204" w:hanging="102"/>
      </w:pPr>
      <w:r>
        <w:rPr>
          <w:rFonts w:ascii="Arial" w:hAnsi="Arial" w:eastAsia="PingFang SC"/>
          <w:b w:val="0"/>
          <w:color w:val="1C1C1C"/>
          <w:sz w:val="17"/>
        </w:rPr>
        <w:t xml:space="preserve">• </w:t>
      </w:r>
      <w:r>
        <w:rPr>
          <w:rFonts w:ascii="Arial" w:hAnsi="Arial" w:eastAsia="PingFang SC"/>
          <w:b w:val="0"/>
          <w:color w:val="1C1C1C"/>
          <w:sz w:val="17"/>
        </w:rPr>
        <w:t>建立私有测试集和自动化评测体系，自研 RAG Top-10 召回率达到 98.0%，并通过失败样本回流持续优化。</w:t>
      </w:r>
    </w:p>
    <w:p>
      <w:pPr>
        <w:spacing w:before="0" w:after="28" w:line="245" w:lineRule="auto"/>
        <w:ind w:left="204" w:hanging="102"/>
      </w:pPr>
      <w:r>
        <w:rPr>
          <w:rFonts w:ascii="Arial" w:hAnsi="Arial" w:eastAsia="PingFang SC"/>
          <w:b w:val="0"/>
          <w:color w:val="1C1C1C"/>
          <w:sz w:val="17"/>
        </w:rPr>
        <w:t xml:space="preserve">• </w:t>
      </w:r>
      <w:r>
        <w:rPr>
          <w:rFonts w:ascii="Arial" w:hAnsi="Arial" w:eastAsia="PingFang SC"/>
          <w:b w:val="0"/>
          <w:color w:val="1C1C1C"/>
          <w:sz w:val="17"/>
        </w:rPr>
        <w:t>负责 eRob 关节通信 SDK 和开源生态建设，覆盖 EtherCAT / CANopen / CAN / ROS2 / MoveIt 等方向。</w:t>
      </w:r>
    </w:p>
    <w:p>
      <w:pPr>
        <w:spacing w:before="0" w:after="28" w:line="245" w:lineRule="auto"/>
        <w:ind w:left="204" w:hanging="102"/>
      </w:pPr>
      <w:r>
        <w:rPr>
          <w:rFonts w:ascii="Arial" w:hAnsi="Arial" w:eastAsia="PingFang SC"/>
          <w:b w:val="0"/>
          <w:color w:val="1C1C1C"/>
          <w:sz w:val="17"/>
        </w:rPr>
        <w:t xml:space="preserve">• </w:t>
      </w:r>
      <w:r>
        <w:rPr>
          <w:rFonts w:ascii="Arial" w:hAnsi="Arial" w:eastAsia="PingFang SC"/>
          <w:b w:val="0"/>
          <w:color w:val="1C1C1C"/>
          <w:sz w:val="17"/>
        </w:rPr>
        <w:t>推动 NVIDIA Inception 生态合作，公司从 340 家参评企业进入 Top 10，获得荣耀企业认证并提升产业客户曝光。</w:t>
      </w:r>
    </w:p>
    <w:p>
      <w:pPr>
        <w:keepNext/>
        <w:spacing w:before="110" w:after="40" w:line="247" w:lineRule="auto"/>
        <w:pBdr>
          <w:bottom w:val="single" w:sz="6" w:space="2" w:color="B8C7D6"/>
        </w:pBdr>
      </w:pPr>
      <w:r>
        <w:rPr>
          <w:rFonts w:ascii="Arial" w:hAnsi="Arial" w:eastAsia="PingFang SC"/>
          <w:b/>
          <w:color w:val="174F80"/>
          <w:sz w:val="22"/>
        </w:rPr>
        <w:t>代表项目</w:t>
      </w:r>
    </w:p>
    <w:p>
      <w:pPr>
        <w:keepNext/>
        <w:spacing w:before="44" w:after="20" w:line="247" w:lineRule="auto"/>
      </w:pPr>
      <w:r>
        <w:rPr>
          <w:rFonts w:ascii="Arial" w:hAnsi="Arial" w:eastAsia="PingFang SC"/>
          <w:b/>
          <w:color w:val="1C1C1C"/>
          <w:sz w:val="18"/>
        </w:rPr>
        <w:t>1. ZeroErr GPT / TechChat 企业级售后知识问答系统｜AI 系统负责人</w:t>
      </w:r>
    </w:p>
    <w:p>
      <w:pPr>
        <w:spacing w:before="0" w:after="28" w:line="245" w:lineRule="auto"/>
        <w:ind w:left="204" w:hanging="102"/>
      </w:pPr>
      <w:r>
        <w:rPr>
          <w:rFonts w:ascii="Arial" w:hAnsi="Arial" w:eastAsia="PingFang SC"/>
          <w:b w:val="0"/>
          <w:color w:val="1C1C1C"/>
          <w:sz w:val="17"/>
        </w:rPr>
        <w:t xml:space="preserve">• </w:t>
      </w:r>
      <w:r>
        <w:rPr>
          <w:rFonts w:ascii="Arial" w:hAnsi="Arial" w:eastAsia="PingFang SC"/>
          <w:b w:val="0"/>
          <w:color w:val="1C1C1C"/>
          <w:sz w:val="17"/>
        </w:rPr>
        <w:t>设计“知识治理 + RAG + Evidence Tool + 自动化评测 + 业务闭环”的系统架构，支撑客服、研发和客户自助查询。</w:t>
      </w:r>
    </w:p>
    <w:p>
      <w:pPr>
        <w:spacing w:before="0" w:after="28" w:line="245" w:lineRule="auto"/>
        <w:ind w:left="204" w:hanging="102"/>
      </w:pPr>
      <w:r>
        <w:rPr>
          <w:rFonts w:ascii="Arial" w:hAnsi="Arial" w:eastAsia="PingFang SC"/>
          <w:b w:val="0"/>
          <w:color w:val="1C1C1C"/>
          <w:sz w:val="17"/>
        </w:rPr>
        <w:t xml:space="preserve">• </w:t>
      </w:r>
      <w:r>
        <w:rPr>
          <w:rFonts w:ascii="Arial" w:hAnsi="Arial" w:eastAsia="PingFang SC"/>
          <w:b w:val="0"/>
          <w:color w:val="1C1C1C"/>
          <w:sz w:val="17"/>
        </w:rPr>
        <w:t>构建文档解析、标题增强、章节结构、关联问题增强、多路检索、重排和证据返回链路。</w:t>
      </w:r>
    </w:p>
    <w:p>
      <w:pPr>
        <w:spacing w:before="0" w:after="28" w:line="245" w:lineRule="auto"/>
        <w:ind w:left="204" w:hanging="102"/>
      </w:pPr>
      <w:r>
        <w:rPr>
          <w:rFonts w:ascii="Arial" w:hAnsi="Arial" w:eastAsia="PingFang SC"/>
          <w:b w:val="0"/>
          <w:color w:val="1C1C1C"/>
          <w:sz w:val="17"/>
        </w:rPr>
        <w:t xml:space="preserve">• </w:t>
      </w:r>
      <w:r>
        <w:rPr>
          <w:rFonts w:ascii="Arial" w:hAnsi="Arial" w:eastAsia="PingFang SC"/>
          <w:b w:val="0"/>
          <w:color w:val="1C1C1C"/>
          <w:sz w:val="17"/>
        </w:rPr>
        <w:t>封装 OpenAI-compatible API 和 CLI，支持 OpenWebUI、Dify、LangChain、Codex、OpenClaw 等生态接入。</w:t>
      </w:r>
    </w:p>
    <w:p>
      <w:pPr>
        <w:spacing w:before="0" w:after="28" w:line="245" w:lineRule="auto"/>
        <w:ind w:left="204" w:hanging="102"/>
      </w:pPr>
      <w:r>
        <w:rPr>
          <w:rFonts w:ascii="Arial" w:hAnsi="Arial" w:eastAsia="PingFang SC"/>
          <w:b w:val="0"/>
          <w:color w:val="1C1C1C"/>
          <w:sz w:val="17"/>
        </w:rPr>
        <w:t xml:space="preserve">• </w:t>
      </w:r>
      <w:r>
        <w:rPr>
          <w:rFonts w:ascii="Arial" w:hAnsi="Arial" w:eastAsia="PingFang SC"/>
          <w:b w:val="0"/>
          <w:color w:val="1C1C1C"/>
          <w:sz w:val="17"/>
        </w:rPr>
        <w:t>将售前报价/选型/交期、售后问答、研发资料沉淀到统一入口，减少消息渠道分散和人工经验依赖。</w:t>
      </w:r>
    </w:p>
    <w:p>
      <w:pPr>
        <w:keepNext/>
        <w:spacing w:before="44" w:after="20" w:line="247" w:lineRule="auto"/>
      </w:pPr>
      <w:r>
        <w:rPr>
          <w:rFonts w:ascii="Arial" w:hAnsi="Arial" w:eastAsia="PingFang SC"/>
          <w:b/>
          <w:color w:val="1C1C1C"/>
          <w:sz w:val="18"/>
        </w:rPr>
        <w:t>2. eRob 机器人关节软件生态与通信 SDK｜项目负责人 / 开源维护</w:t>
      </w:r>
    </w:p>
    <w:p>
      <w:pPr>
        <w:spacing w:before="0" w:after="28" w:line="245" w:lineRule="auto"/>
        <w:ind w:left="204" w:hanging="102"/>
      </w:pPr>
      <w:r>
        <w:rPr>
          <w:rFonts w:ascii="Arial" w:hAnsi="Arial" w:eastAsia="PingFang SC"/>
          <w:b w:val="0"/>
          <w:color w:val="1C1C1C"/>
          <w:sz w:val="17"/>
        </w:rPr>
        <w:t xml:space="preserve">• </w:t>
      </w:r>
      <w:r>
        <w:rPr>
          <w:rFonts w:ascii="Arial" w:hAnsi="Arial" w:eastAsia="PingFang SC"/>
          <w:b w:val="0"/>
          <w:color w:val="1C1C1C"/>
          <w:sz w:val="17"/>
        </w:rPr>
        <w:t>建设面向客户和开发者的软件生态，覆盖 EtherCAT、CANopen、CAN、ROS2、MoveIt、URDF、Isaac Sim 等接口与示例。</w:t>
      </w:r>
    </w:p>
    <w:p>
      <w:pPr>
        <w:spacing w:before="0" w:after="28" w:line="245" w:lineRule="auto"/>
        <w:ind w:left="204" w:hanging="102"/>
      </w:pPr>
      <w:r>
        <w:rPr>
          <w:rFonts w:ascii="Arial" w:hAnsi="Arial" w:eastAsia="PingFang SC"/>
          <w:b w:val="0"/>
          <w:color w:val="1C1C1C"/>
          <w:sz w:val="17"/>
        </w:rPr>
        <w:t xml:space="preserve">• </w:t>
      </w:r>
      <w:r>
        <w:rPr>
          <w:rFonts w:ascii="Arial" w:hAnsi="Arial" w:eastAsia="PingFang SC"/>
          <w:b w:val="0"/>
          <w:color w:val="1C1C1C"/>
          <w:sz w:val="17"/>
        </w:rPr>
        <w:t>沉淀 CiA402 状态机、PDO / SDO、CSP / CST / PP / PT 控制模式、多关节同步和实时 Linux 调试经验。</w:t>
      </w:r>
    </w:p>
    <w:p>
      <w:pPr>
        <w:spacing w:before="0" w:after="28" w:line="245" w:lineRule="auto"/>
        <w:ind w:left="204" w:hanging="102"/>
      </w:pPr>
      <w:r>
        <w:rPr>
          <w:rFonts w:ascii="Arial" w:hAnsi="Arial" w:eastAsia="PingFang SC"/>
          <w:b w:val="0"/>
          <w:color w:val="1C1C1C"/>
          <w:sz w:val="17"/>
        </w:rPr>
        <w:t xml:space="preserve">• </w:t>
      </w:r>
      <w:r>
        <w:rPr>
          <w:rFonts w:ascii="Arial" w:hAnsi="Arial" w:eastAsia="PingFang SC"/>
          <w:b w:val="0"/>
          <w:color w:val="1C1C1C"/>
          <w:sz w:val="17"/>
        </w:rPr>
        <w:t>把客户现场问题转化为文档、示例、FAQ、技术支持话术和知识库数据，形成可复用的开发者支持体系。</w:t>
      </w:r>
    </w:p>
    <w:p>
      <w:pPr>
        <w:keepNext/>
        <w:spacing w:before="44" w:after="20" w:line="247" w:lineRule="auto"/>
      </w:pPr>
      <w:r>
        <w:rPr>
          <w:rFonts w:ascii="Arial" w:hAnsi="Arial" w:eastAsia="PingFang SC"/>
          <w:b/>
          <w:color w:val="1C1C1C"/>
          <w:sz w:val="18"/>
        </w:rPr>
        <w:t>3. 企业数字化与 AI 原生组织建设｜方案设计 / 推动落地</w:t>
      </w:r>
    </w:p>
    <w:p>
      <w:pPr>
        <w:spacing w:before="0" w:after="28" w:line="245" w:lineRule="auto"/>
        <w:ind w:left="204" w:hanging="102"/>
      </w:pPr>
      <w:r>
        <w:rPr>
          <w:rFonts w:ascii="Arial" w:hAnsi="Arial" w:eastAsia="PingFang SC"/>
          <w:b w:val="0"/>
          <w:color w:val="1C1C1C"/>
          <w:sz w:val="17"/>
        </w:rPr>
        <w:t xml:space="preserve">• </w:t>
      </w:r>
      <w:r>
        <w:rPr>
          <w:rFonts w:ascii="Arial" w:hAnsi="Arial" w:eastAsia="PingFang SC"/>
          <w:b w:val="0"/>
          <w:color w:val="1C1C1C"/>
          <w:sz w:val="17"/>
        </w:rPr>
        <w:t>围绕数据治理、知识库、数据中心、AI Agent 协作和业务流程线上化进行方案设计。</w:t>
      </w:r>
    </w:p>
    <w:p>
      <w:pPr>
        <w:spacing w:before="0" w:after="28" w:line="245" w:lineRule="auto"/>
        <w:ind w:left="204" w:hanging="102"/>
      </w:pPr>
      <w:r>
        <w:rPr>
          <w:rFonts w:ascii="Arial" w:hAnsi="Arial" w:eastAsia="PingFang SC"/>
          <w:b w:val="0"/>
          <w:color w:val="1C1C1C"/>
          <w:sz w:val="17"/>
        </w:rPr>
        <w:t xml:space="preserve">• </w:t>
      </w:r>
      <w:r>
        <w:rPr>
          <w:rFonts w:ascii="Arial" w:hAnsi="Arial" w:eastAsia="PingFang SC"/>
          <w:b w:val="0"/>
          <w:color w:val="1C1C1C"/>
          <w:sz w:val="17"/>
        </w:rPr>
        <w:t>探索部门、岗位、员工、Agent、人类协作主体之间的系统架构，推动 AI 系统从单点问答工具走向组织级知识基础设施。</w:t>
      </w:r>
    </w:p>
    <w:p>
      <w:pPr>
        <w:keepNext/>
        <w:spacing w:before="44" w:after="20" w:line="247" w:lineRule="auto"/>
      </w:pPr>
      <w:r>
        <w:rPr>
          <w:rFonts w:ascii="Arial" w:hAnsi="Arial" w:eastAsia="PingFang SC"/>
          <w:b/>
          <w:color w:val="1C1C1C"/>
          <w:sz w:val="18"/>
        </w:rPr>
        <w:t>4. 机器人仿真与 NVIDIA / Isaac 生态探索｜生态集成 / 展示支持</w:t>
      </w:r>
    </w:p>
    <w:p>
      <w:pPr>
        <w:spacing w:before="0" w:after="28" w:line="245" w:lineRule="auto"/>
        <w:ind w:left="204" w:hanging="102"/>
      </w:pPr>
      <w:r>
        <w:rPr>
          <w:rFonts w:ascii="Arial" w:hAnsi="Arial" w:eastAsia="PingFang SC"/>
          <w:b w:val="0"/>
          <w:color w:val="1C1C1C"/>
          <w:sz w:val="17"/>
        </w:rPr>
        <w:t xml:space="preserve">• </w:t>
      </w:r>
      <w:r>
        <w:rPr>
          <w:rFonts w:ascii="Arial" w:hAnsi="Arial" w:eastAsia="PingFang SC"/>
          <w:b w:val="0"/>
          <w:color w:val="1C1C1C"/>
          <w:sz w:val="17"/>
        </w:rPr>
        <w:t>参与 URDF / STL 模型整理、Isaac Sim / Isaac Lab / ROS2 / MoveIt 集成探索，支持机器人关节在 NVIDIA 平台展示。</w:t>
      </w:r>
    </w:p>
    <w:p>
      <w:pPr>
        <w:spacing w:before="0" w:after="28" w:line="245" w:lineRule="auto"/>
        <w:ind w:left="204" w:hanging="102"/>
      </w:pPr>
      <w:r>
        <w:rPr>
          <w:rFonts w:ascii="Arial" w:hAnsi="Arial" w:eastAsia="PingFang SC"/>
          <w:b w:val="0"/>
          <w:color w:val="1C1C1C"/>
          <w:sz w:val="17"/>
        </w:rPr>
        <w:t xml:space="preserve">• </w:t>
      </w:r>
      <w:r>
        <w:rPr>
          <w:rFonts w:ascii="Arial" w:hAnsi="Arial" w:eastAsia="PingFang SC"/>
          <w:b w:val="0"/>
          <w:color w:val="1C1C1C"/>
          <w:sz w:val="17"/>
        </w:rPr>
        <w:t>关注 VLA、世界模型、强化学习和具身智能方向，为 AI 机器人应用和数据基建方向储备工程场景。</w:t>
      </w:r>
    </w:p>
    <w:p>
      <w:pPr>
        <w:keepNext/>
        <w:spacing w:before="110" w:after="40" w:line="247" w:lineRule="auto"/>
        <w:pBdr>
          <w:bottom w:val="single" w:sz="6" w:space="2" w:color="B8C7D6"/>
        </w:pBdr>
      </w:pPr>
      <w:r>
        <w:rPr>
          <w:rFonts w:ascii="Arial" w:hAnsi="Arial" w:eastAsia="PingFang SC"/>
          <w:b/>
          <w:color w:val="174F80"/>
          <w:sz w:val="22"/>
        </w:rPr>
        <w:t>教育背景与成果</w:t>
      </w:r>
    </w:p>
    <w:p>
      <w:pPr>
        <w:spacing w:before="0" w:after="28" w:line="245" w:lineRule="auto"/>
        <w:ind w:left="204" w:hanging="102"/>
      </w:pPr>
      <w:r>
        <w:rPr>
          <w:rFonts w:ascii="Arial" w:hAnsi="Arial" w:eastAsia="PingFang SC"/>
          <w:b w:val="0"/>
          <w:color w:val="1C1C1C"/>
          <w:sz w:val="17"/>
        </w:rPr>
        <w:t xml:space="preserve">• </w:t>
      </w:r>
      <w:r>
        <w:rPr>
          <w:rFonts w:ascii="Arial" w:hAnsi="Arial" w:eastAsia="PingFang SC"/>
          <w:b w:val="0"/>
          <w:color w:val="1C1C1C"/>
          <w:sz w:val="17"/>
        </w:rPr>
        <w:t>南方科技大学｜智能制造与机器人 · 硕士｜2021 - 2024.07；研究方向：长时储能与机器学习。</w:t>
      </w:r>
    </w:p>
    <w:p>
      <w:pPr>
        <w:spacing w:before="0" w:after="28" w:line="245" w:lineRule="auto"/>
        <w:ind w:left="204" w:hanging="102"/>
      </w:pPr>
      <w:r>
        <w:rPr>
          <w:rFonts w:ascii="Arial" w:hAnsi="Arial" w:eastAsia="PingFang SC"/>
          <w:b w:val="0"/>
          <w:color w:val="1C1C1C"/>
          <w:sz w:val="17"/>
        </w:rPr>
        <w:t xml:space="preserve">• </w:t>
      </w:r>
      <w:r>
        <w:rPr>
          <w:rFonts w:ascii="Arial" w:hAnsi="Arial" w:eastAsia="PingFang SC"/>
          <w:b w:val="0"/>
          <w:color w:val="1C1C1C"/>
          <w:sz w:val="17"/>
        </w:rPr>
        <w:t>广西科技大学｜车辆工程 · 本科｜2016 - 2020。</w:t>
      </w:r>
    </w:p>
    <w:p>
      <w:pPr>
        <w:spacing w:before="0" w:after="28" w:line="245" w:lineRule="auto"/>
        <w:ind w:left="204" w:hanging="102"/>
      </w:pPr>
      <w:r>
        <w:rPr>
          <w:rFonts w:ascii="Arial" w:hAnsi="Arial" w:eastAsia="PingFang SC"/>
          <w:b w:val="0"/>
          <w:color w:val="1C1C1C"/>
          <w:sz w:val="17"/>
        </w:rPr>
        <w:t xml:space="preserve">• </w:t>
      </w:r>
      <w:r>
        <w:rPr>
          <w:rFonts w:ascii="Arial" w:hAnsi="Arial" w:eastAsia="PingFang SC"/>
          <w:b w:val="0"/>
          <w:color w:val="1C1C1C"/>
          <w:sz w:val="17"/>
        </w:rPr>
        <w:t>共同第一作者发表 EES 等顶刊论文 2 篇；授权国家发明专利 2 项、实用新型专利 2 项。</w:t>
      </w:r>
    </w:p>
    <w:p>
      <w:pPr>
        <w:spacing w:before="0" w:after="28" w:line="245" w:lineRule="auto"/>
        <w:ind w:left="204" w:hanging="102"/>
      </w:pPr>
      <w:r>
        <w:rPr>
          <w:rFonts w:ascii="Arial" w:hAnsi="Arial" w:eastAsia="PingFang SC"/>
          <w:b w:val="0"/>
          <w:color w:val="1C1C1C"/>
          <w:sz w:val="17"/>
        </w:rPr>
        <w:t xml:space="preserve">• </w:t>
      </w:r>
      <w:r>
        <w:rPr>
          <w:rFonts w:ascii="Arial" w:hAnsi="Arial" w:eastAsia="PingFang SC"/>
          <w:b w:val="0"/>
          <w:color w:val="1C1C1C"/>
          <w:sz w:val="17"/>
        </w:rPr>
        <w:t>NVIDIA Inception 2025 荣耀企业 Top 10 / 340；全国大学生智能车竞赛全国二等奖。</w:t>
      </w:r>
    </w:p>
    <w:sectPr w:rsidR="00FC693F" w:rsidRPr="0006063C" w:rsidSect="00034616">
      <w:footerReference w:type="default" r:id="rId10"/>
      <w:pgSz w:w="12240" w:h="15840"/>
      <w:pgMar w:top="619" w:right="792" w:bottom="547" w:left="792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7" w:lineRule="auto"/>
      <w:jc w:val="center"/>
    </w:pPr>
    <w:r>
      <w:rPr>
        <w:rFonts w:ascii="Arial" w:hAnsi="Arial" w:eastAsia="PingFang SC"/>
        <w:b w:val="0"/>
        <w:color w:val="5A5A5A"/>
        <w:sz w:val="14"/>
      </w:rPr>
      <w:t>韦东波｜AI + 机器人复合方向简历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PingFang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