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w:body>
    <w:p>
      <w:pPr>
        <w:spacing w:before="480" w:after="480" w:line="288" w:lineRule="auto"/>
        <w:ind w:left="0"/>
      </w:pPr>
      <w:r>
        <w:rPr>
          <w:rFonts w:eastAsia="等线" w:ascii="Arial" w:cs="Arial" w:hAnsi="Arial"/>
          <w:b w:val="true"/>
          <w:sz w:val="52"/>
        </w:rPr>
        <w:t>聚宽模拟平台API文档</w:t>
      </w:r>
    </w:p>
    <w:p>
      <w:pPr>
        <w:pStyle w:val="2"/>
        <w:spacing w:before="320" w:after="120" w:line="288" w:lineRule="auto"/>
        <w:ind w:left="0"/>
        <w:jc w:val="left"/>
        <w:outlineLvl w:val="1"/>
      </w:pPr>
      <w:bookmarkStart w:name="heading_0" w:id="0"/>
      <w:r>
        <w:rPr>
          <w:rFonts w:eastAsia="等线" w:ascii="Arial" w:cs="Arial" w:hAnsi="Arial"/>
          <w:b w:val="true"/>
          <w:sz w:val="32"/>
        </w:rPr>
        <w:t>API文档</w:t>
      </w:r>
      <w:bookmarkEnd w:id="0"/>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感谢您使用JoinQuant（聚宽）量化平台，以下内容主要介绍聚宽量化平台的API使用方法，目录中带有"♠" 标识的API是 </w:t>
      </w:r>
      <w:r>
        <w:rPr>
          <w:rFonts w:eastAsia="Consolas" w:ascii="Consolas" w:cs="Consolas" w:hAnsi="Consolas"/>
          <w:sz w:val="22"/>
          <w:shd w:fill="EFF0F1"/>
        </w:rPr>
        <w:t>"回测环境/模拟"</w:t>
      </w:r>
      <w:r>
        <w:rPr>
          <w:rFonts w:eastAsia="等线" w:ascii="Arial" w:cs="Arial" w:hAnsi="Arial"/>
          <w:sz w:val="22"/>
        </w:rPr>
        <w:t>的专用API，</w:t>
      </w:r>
      <w:r>
        <w:rPr>
          <w:rFonts w:eastAsia="等线" w:ascii="Arial" w:cs="Arial" w:hAnsi="Arial"/>
          <w:b w:val="true"/>
          <w:sz w:val="22"/>
        </w:rPr>
        <w:t>不支持在</w:t>
      </w:r>
      <w:hyperlink r:id="rId4">
        <w:r>
          <w:rPr>
            <w:rFonts w:eastAsia="等线" w:ascii="Arial" w:cs="Arial" w:hAnsi="Arial"/>
            <w:b w:val="true"/>
            <w:color w:val="3370ff"/>
            <w:sz w:val="22"/>
          </w:rPr>
          <w:t>投资研究</w:t>
        </w:r>
      </w:hyperlink>
      <w:r>
        <w:rPr>
          <w:rFonts w:eastAsia="等线" w:ascii="Arial" w:cs="Arial" w:hAnsi="Arial"/>
          <w:b w:val="true"/>
          <w:sz w:val="22"/>
        </w:rPr>
        <w:t>模块中调用</w:t>
      </w:r>
      <w:r>
        <w:rPr>
          <w:rFonts w:eastAsia="等线" w:ascii="Arial" w:cs="Arial" w:hAnsi="Arial"/>
          <w:sz w:val="22"/>
        </w:rPr>
        <w:t>。</w:t>
      </w:r>
    </w:p>
    <w:p>
      <w:pPr>
        <w:spacing w:before="120" w:after="120" w:line="288" w:lineRule="auto"/>
        <w:ind w:left="0"/>
        <w:jc w:val="left"/>
      </w:pPr>
      <w:r>
        <w:rPr>
          <w:rFonts w:eastAsia="等线" w:ascii="Arial" w:cs="Arial" w:hAnsi="Arial"/>
          <w:sz w:val="22"/>
        </w:rPr>
        <w:t>内容较多，可使用</w:t>
      </w:r>
      <w:r>
        <w:rPr>
          <w:rFonts w:eastAsia="Consolas" w:ascii="Consolas" w:cs="Consolas" w:hAnsi="Consolas"/>
          <w:sz w:val="22"/>
          <w:shd w:fill="EFF0F1"/>
        </w:rPr>
        <w:t>Ctrl+F</w:t>
      </w:r>
      <w:r>
        <w:rPr>
          <w:rFonts w:eastAsia="等线" w:ascii="Arial" w:cs="Arial" w:hAnsi="Arial"/>
          <w:sz w:val="22"/>
        </w:rPr>
        <w:t>进行搜索。</w:t>
      </w:r>
    </w:p>
    <w:p>
      <w:pPr>
        <w:spacing w:before="120" w:after="120" w:line="288" w:lineRule="auto"/>
        <w:ind w:left="0"/>
        <w:jc w:val="left"/>
      </w:pPr>
      <w:r>
        <w:rPr>
          <w:rFonts w:eastAsia="等线" w:ascii="Arial" w:cs="Arial" w:hAnsi="Arial"/>
          <w:sz w:val="22"/>
        </w:rPr>
        <w:t>如果以下内容仍没有解决您的问题，请您查看</w:t>
      </w:r>
      <w:hyperlink r:id="rId5">
        <w:r>
          <w:rPr>
            <w:rFonts w:eastAsia="等线" w:ascii="Arial" w:cs="Arial" w:hAnsi="Arial"/>
            <w:color w:val="3370ff"/>
            <w:sz w:val="22"/>
          </w:rPr>
          <w:t>常见问题</w:t>
        </w:r>
      </w:hyperlink>
      <w:r>
        <w:rPr>
          <w:rFonts w:eastAsia="等线" w:ascii="Arial" w:cs="Arial" w:hAnsi="Arial"/>
          <w:sz w:val="22"/>
        </w:rPr>
        <w:t>、</w:t>
      </w:r>
      <w:hyperlink r:id="rId6">
        <w:r>
          <w:rPr>
            <w:rFonts w:eastAsia="等线" w:ascii="Arial" w:cs="Arial" w:hAnsi="Arial"/>
            <w:color w:val="3370ff"/>
            <w:sz w:val="22"/>
          </w:rPr>
          <w:t>常见Bug或者警告解决方法</w:t>
        </w:r>
      </w:hyperlink>
      <w:r>
        <w:rPr>
          <w:rFonts w:eastAsia="等线" w:ascii="Arial" w:cs="Arial" w:hAnsi="Arial"/>
          <w:sz w:val="22"/>
        </w:rPr>
        <w:t>或者通过</w:t>
      </w:r>
      <w:hyperlink r:id="rId7">
        <w:r>
          <w:rPr>
            <w:rFonts w:eastAsia="等线" w:ascii="Arial" w:cs="Arial" w:hAnsi="Arial"/>
            <w:color w:val="3370ff"/>
            <w:sz w:val="22"/>
          </w:rPr>
          <w:t>社区提问</w:t>
        </w:r>
      </w:hyperlink>
      <w:r>
        <w:rPr>
          <w:rFonts w:eastAsia="等线" w:ascii="Arial" w:cs="Arial" w:hAnsi="Arial"/>
          <w:sz w:val="22"/>
        </w:rPr>
        <w:t>的方式告诉我们。此外您也可以通过在线客服免费咨询</w:t>
      </w:r>
    </w:p>
    <w:p>
      <w:pPr>
        <w:spacing w:before="120" w:after="120" w:line="288" w:lineRule="auto"/>
        <w:ind w:left="0"/>
        <w:jc w:val="center"/>
      </w:pPr>
      <w:r>
        <w:drawing>
          <wp:inline distT="0" distR="0" distB="0" distL="0">
            <wp:extent cx="5257800" cy="15144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8"/>
                    <a:stretch>
                      <a:fillRect/>
                    </a:stretch>
                  </pic:blipFill>
                  <pic:spPr>
                    <a:xfrm>
                      <a:off x="0" y="0"/>
                      <a:ext cx="5257800" cy="15144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1" w:id="1"/>
      <w:r>
        <w:rPr>
          <w:rFonts w:eastAsia="等线" w:ascii="Arial" w:cs="Arial" w:hAnsi="Arial"/>
          <w:b w:val="true"/>
          <w:sz w:val="32"/>
        </w:rPr>
        <w:t>开始写策略</w:t>
      </w:r>
      <w:bookmarkEnd w:id="1"/>
    </w:p>
    <w:p>
      <w:pPr>
        <w:spacing w:before="120" w:after="120" w:line="288" w:lineRule="auto"/>
        <w:ind w:left="0"/>
        <w:jc w:val="left"/>
      </w:pPr>
    </w:p>
    <w:p>
      <w:pPr>
        <w:pStyle w:val="3"/>
        <w:spacing w:before="300" w:after="120" w:line="288" w:lineRule="auto"/>
        <w:ind w:left="0"/>
        <w:jc w:val="left"/>
        <w:outlineLvl w:val="2"/>
      </w:pPr>
      <w:bookmarkStart w:name="heading_2" w:id="2"/>
      <w:r>
        <w:rPr>
          <w:rFonts w:eastAsia="等线" w:ascii="Arial" w:cs="Arial" w:hAnsi="Arial"/>
          <w:b w:val="true"/>
          <w:sz w:val="30"/>
        </w:rPr>
        <w:t>简单但是完整的策略</w:t>
      </w:r>
      <w:bookmarkEnd w:id="2"/>
    </w:p>
    <w:p>
      <w:pPr>
        <w:spacing w:before="120" w:after="120" w:line="288" w:lineRule="auto"/>
        <w:ind w:left="0"/>
        <w:jc w:val="left"/>
      </w:pPr>
    </w:p>
    <w:p>
      <w:pPr>
        <w:spacing w:before="120" w:after="120" w:line="288" w:lineRule="auto"/>
        <w:ind w:left="0"/>
        <w:jc w:val="left"/>
      </w:pPr>
      <w:r>
        <w:rPr>
          <w:rFonts w:eastAsia="等线" w:ascii="Arial" w:cs="Arial" w:hAnsi="Arial"/>
          <w:sz w:val="22"/>
        </w:rPr>
        <w:t>先来看一个简单但是完整的策略: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def initialize(context):# 定义一个全局变量, 保存要操作的股票</w:t>
              <w:br/>
              <w:t xml:space="preserve">    g.security = '000001.XSHE'# 运行函数</w:t>
              <w:br/>
              <w:t xml:space="preserve">    run_daily(market_open, time='every_bar')</w:t>
              <w:br/>
              <w:br/>
              <w:t>def market_open(context):if g.security not in context.portfolio.positions:</w:t>
              <w:br/>
              <w:t xml:space="preserve">        order(g.security, 1000)</w:t>
              <w:br/>
              <w:t xml:space="preserve">    else:</w:t>
              <w:br/>
            </w:r>
            <w:r>
              <w:rPr>
                <w:rFonts w:eastAsia="Consolas" w:ascii="Consolas" w:cs="Consolas" w:hAnsi="Consolas"/>
                <w:sz w:val="22"/>
              </w:rPr>
              <w:t xml:space="preserve">        order(g.security, -800)</w:t>
            </w:r>
          </w:p>
        </w:tc>
      </w:tr>
    </w:tbl>
    <w:p>
      <w:pPr>
        <w:spacing w:before="120" w:after="120" w:line="288" w:lineRule="auto"/>
        <w:ind w:left="0"/>
        <w:jc w:val="left"/>
      </w:pPr>
      <w:r>
        <w:rPr>
          <w:rFonts w:eastAsia="等线" w:ascii="Arial" w:cs="Arial" w:hAnsi="Arial"/>
          <w:sz w:val="22"/>
        </w:rPr>
        <w:t>一个完整策略只需要两步:</w:t>
      </w:r>
    </w:p>
    <w:p>
      <w:pPr>
        <w:numPr>
          <w:numId w:val="1"/>
        </w:numPr>
        <w:spacing w:before="120" w:after="120" w:line="288" w:lineRule="auto"/>
        <w:ind w:left="0"/>
        <w:jc w:val="left"/>
      </w:pPr>
      <w:r>
        <w:rPr>
          <w:rFonts w:eastAsia="等线" w:ascii="Arial" w:cs="Arial" w:hAnsi="Arial"/>
          <w:sz w:val="22"/>
        </w:rPr>
        <w:t xml:space="preserve">设置初始化函数: </w:t>
      </w:r>
      <w:hyperlink r:id="rId10">
        <w:r>
          <w:rPr>
            <w:rFonts w:eastAsia="等线" w:ascii="Arial" w:cs="Arial" w:hAnsi="Arial"/>
            <w:color w:val="3370ff"/>
            <w:sz w:val="22"/>
          </w:rPr>
          <w:t>initialize</w:t>
        </w:r>
      </w:hyperlink>
      <w:r>
        <w:rPr>
          <w:rFonts w:eastAsia="等线" w:ascii="Arial" w:cs="Arial" w:hAnsi="Arial"/>
          <w:sz w:val="22"/>
        </w:rPr>
        <w:t>,上面的例子中, 只操作一支股票: '000001.XSHE', 平安银行</w:t>
      </w:r>
    </w:p>
    <w:p>
      <w:pPr>
        <w:numPr>
          <w:numId w:val="2"/>
        </w:numPr>
        <w:spacing w:before="120" w:after="120" w:line="288" w:lineRule="auto"/>
        <w:ind w:left="0"/>
        <w:jc w:val="left"/>
      </w:pPr>
      <w:r>
        <w:rPr>
          <w:rFonts w:eastAsia="等线" w:ascii="Arial" w:cs="Arial" w:hAnsi="Arial"/>
          <w:sz w:val="22"/>
        </w:rPr>
        <w:t>实现一个函数, 来根据历史数据调整仓位.</w:t>
      </w:r>
    </w:p>
    <w:p>
      <w:pPr>
        <w:spacing w:before="120" w:after="120" w:line="288" w:lineRule="auto"/>
        <w:ind w:left="0"/>
        <w:jc w:val="left"/>
      </w:pPr>
      <w:r>
        <w:rPr>
          <w:rFonts w:eastAsia="等线" w:ascii="Arial" w:cs="Arial" w:hAnsi="Arial"/>
          <w:sz w:val="22"/>
        </w:rPr>
        <w:t>这个策略里, 每当我们没有股票时就买入1000股, 每当我们有股票时又卖出800股, 具体的下单API请看</w:t>
      </w:r>
      <w:hyperlink r:id="rId11">
        <w:r>
          <w:rPr>
            <w:rFonts w:eastAsia="等线" w:ascii="Arial" w:cs="Arial" w:hAnsi="Arial"/>
            <w:color w:val="3370ff"/>
            <w:sz w:val="22"/>
          </w:rPr>
          <w:t>order</w:t>
        </w:r>
      </w:hyperlink>
      <w:r>
        <w:rPr>
          <w:rFonts w:eastAsia="等线" w:ascii="Arial" w:cs="Arial" w:hAnsi="Arial"/>
          <w:sz w:val="22"/>
        </w:rPr>
        <w:t>函数.</w:t>
      </w:r>
    </w:p>
    <w:p>
      <w:pPr>
        <w:spacing w:before="120" w:after="120" w:line="288" w:lineRule="auto"/>
        <w:ind w:left="0"/>
        <w:jc w:val="left"/>
      </w:pPr>
      <w:r>
        <w:rPr>
          <w:rFonts w:eastAsia="等线" w:ascii="Arial" w:cs="Arial" w:hAnsi="Arial"/>
          <w:sz w:val="22"/>
        </w:rPr>
        <w:t>这个策略里, 我们有了交易, 但是只是无意义的交易, 没有依据当前的数据做出合理的分析</w:t>
      </w:r>
    </w:p>
    <w:p>
      <w:pPr>
        <w:spacing w:before="120" w:after="120" w:line="288" w:lineRule="auto"/>
        <w:ind w:left="0"/>
        <w:jc w:val="left"/>
      </w:pPr>
      <w:r>
        <w:rPr>
          <w:rFonts w:eastAsia="等线" w:ascii="Arial" w:cs="Arial" w:hAnsi="Arial"/>
          <w:sz w:val="22"/>
        </w:rPr>
        <w:t>下面我们来看一个真正实用的策略</w:t>
      </w:r>
    </w:p>
    <w:p>
      <w:pPr>
        <w:pStyle w:val="3"/>
        <w:spacing w:before="300" w:after="120" w:line="288" w:lineRule="auto"/>
        <w:ind w:left="0"/>
        <w:jc w:val="left"/>
        <w:outlineLvl w:val="2"/>
      </w:pPr>
      <w:bookmarkStart w:name="heading_3" w:id="3"/>
      <w:r>
        <w:rPr>
          <w:rFonts w:eastAsia="等线" w:ascii="Arial" w:cs="Arial" w:hAnsi="Arial"/>
          <w:b w:val="true"/>
          <w:sz w:val="30"/>
        </w:rPr>
        <w:t>实用的策略</w:t>
      </w:r>
      <w:bookmarkEnd w:id="3"/>
    </w:p>
    <w:p>
      <w:pPr>
        <w:spacing w:before="120" w:after="120" w:line="288" w:lineRule="auto"/>
        <w:ind w:left="0"/>
        <w:jc w:val="left"/>
      </w:pPr>
    </w:p>
    <w:p>
      <w:pPr>
        <w:spacing w:before="120" w:after="120" w:line="288" w:lineRule="auto"/>
        <w:ind w:left="0"/>
        <w:jc w:val="left"/>
      </w:pPr>
      <w:r>
        <w:rPr>
          <w:rFonts w:eastAsia="等线" w:ascii="Arial" w:cs="Arial" w:hAnsi="Arial"/>
          <w:sz w:val="22"/>
        </w:rPr>
        <w:t>在这个策略里, 我们会根据历史价格做出判断:</w:t>
      </w:r>
    </w:p>
    <w:p>
      <w:pPr>
        <w:numPr>
          <w:numId w:val="3"/>
        </w:numPr>
        <w:spacing w:before="120" w:after="120" w:line="288" w:lineRule="auto"/>
        <w:ind w:left="0"/>
        <w:jc w:val="left"/>
      </w:pPr>
      <w:r>
        <w:rPr>
          <w:rFonts w:eastAsia="等线" w:ascii="Arial" w:cs="Arial" w:hAnsi="Arial"/>
          <w:sz w:val="22"/>
        </w:rPr>
        <w:t>如果上一时间点价格高出五天平均价1%, 则全仓买入</w:t>
      </w:r>
    </w:p>
    <w:p>
      <w:pPr>
        <w:numPr>
          <w:numId w:val="4"/>
        </w:numPr>
        <w:spacing w:before="120" w:after="120" w:line="288" w:lineRule="auto"/>
        <w:ind w:left="0"/>
        <w:jc w:val="left"/>
      </w:pPr>
      <w:r>
        <w:rPr>
          <w:rFonts w:eastAsia="等线" w:ascii="Arial" w:cs="Arial" w:hAnsi="Arial"/>
          <w:sz w:val="22"/>
        </w:rPr>
        <w:t>如果上一时间点价格低于五天平均价, 则空仓卖出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导入聚宽函数库import jqdata</w:t>
              <w:br/>
              <w:br/>
              <w:t># 初始化函数，设定要操作的股票、基准等等def initialize(context):# 定义一个全局变量, 保存要操作的股票# 000001(股票:平安银行)</w:t>
              <w:br/>
              <w:t xml:space="preserve">    g.security = '000001.XSHE'# 设定沪深300作为基准</w:t>
              <w:br/>
              <w:t xml:space="preserve">    set_benchmark('000300.XSHG')</w:t>
              <w:br/>
              <w:t xml:space="preserve">    # 开启动态复权模式(真实价格)</w:t>
              <w:br/>
              <w:t xml:space="preserve">    set_option('use_real_price', True)</w:t>
              <w:br/>
              <w:t xml:space="preserve">    # 运行函数</w:t>
              <w:br/>
              <w:t xml:space="preserve">    run_daily(market_open, time='every_bar')</w:t>
              <w:br/>
              <w:br/>
              <w:t># 每个单位时间(如果按天回测,则每天调用一次,如果按分钟,则每分钟调用一次)调用一次def market_open(context):</w:t>
              <w:br/>
              <w:t xml:space="preserve">    security = g.security</w:t>
              <w:br/>
              <w:t xml:space="preserve">    # 获取股票的收盘价</w:t>
              <w:br/>
              <w:t xml:space="preserve">    close_data = attribute_history(security, 5, '1d', ['close'])</w:t>
              <w:br/>
              <w:t xml:space="preserve">    # 取得过去五天的平均价格</w:t>
              <w:br/>
              <w:t xml:space="preserve">    MA5 = close_data['close'].mean()</w:t>
              <w:br/>
              <w:t xml:space="preserve">    # 取得上一时间点价格</w:t>
              <w:br/>
              <w:t xml:space="preserve">    current_price = close_data['close'][-1]</w:t>
              <w:br/>
              <w:t xml:space="preserve">    # 取得当前的现金</w:t>
              <w:br/>
              <w:t xml:space="preserve">    cash = context.portfolio.available_cash</w:t>
              <w:br/>
              <w:br/>
              <w:t xml:space="preserve">    # 如果上一时间点价格高出五天平均价1%, 则全仓买入if current_price &gt; 1.01*MA5:</w:t>
              <w:br/>
              <w:t xml:space="preserve">        # 用所有 cash 买入股票</w:t>
              <w:br/>
              <w:t xml:space="preserve">        order_value(security, cash)</w:t>
              <w:br/>
              <w:t xml:space="preserve">        # 记录这次买入</w:t>
              <w:br/>
            </w:r>
            <w:r>
              <w:rPr>
                <w:rFonts w:eastAsia="Consolas" w:ascii="Consolas" w:cs="Consolas" w:hAnsi="Consolas"/>
                <w:sz w:val="22"/>
              </w:rPr>
              <w:t xml:space="preserve">        </w:t>
            </w:r>
            <w:r>
              <w:rPr>
                <w:rFonts w:eastAsia="Consolas" w:ascii="Consolas" w:cs="Consolas" w:hAnsi="Consolas"/>
                <w:sz w:val="22"/>
              </w:rPr>
              <w:t>log.info</w:t>
            </w:r>
            <w:r>
              <w:rPr>
                <w:rFonts w:eastAsia="Consolas" w:ascii="Consolas" w:cs="Consolas" w:hAnsi="Consolas"/>
                <w:sz w:val="22"/>
              </w:rPr>
              <w:t>("Buying %s" % (security))</w:t>
              <w:br/>
              <w:t xml:space="preserve">    # 如果上一时间点价格低于五天平均价, 则空仓卖出elif current_price &lt; MA5 and context.portfolio.positions[security].closeable_amount &gt; 0:</w:t>
              <w:br/>
              <w:t xml:space="preserve">        # 卖出所有股票,使这只股票的最终持有量为0</w:t>
              <w:br/>
              <w:t xml:space="preserve">        order_target(security, 0)</w:t>
              <w:br/>
              <w:t xml:space="preserve">        # 记录这次卖出</w:t>
              <w:br/>
            </w:r>
            <w:r>
              <w:rPr>
                <w:rFonts w:eastAsia="Consolas" w:ascii="Consolas" w:cs="Consolas" w:hAnsi="Consolas"/>
                <w:sz w:val="22"/>
              </w:rPr>
              <w:t xml:space="preserve">        </w:t>
            </w:r>
            <w:r>
              <w:rPr>
                <w:rFonts w:eastAsia="Consolas" w:ascii="Consolas" w:cs="Consolas" w:hAnsi="Consolas"/>
                <w:sz w:val="22"/>
              </w:rPr>
              <w:t>log.info</w:t>
            </w:r>
            <w:r>
              <w:rPr>
                <w:rFonts w:eastAsia="Consolas" w:ascii="Consolas" w:cs="Consolas" w:hAnsi="Consolas"/>
                <w:sz w:val="22"/>
              </w:rPr>
              <w:t>("Selling %s" % (security))</w:t>
              <w:br/>
              <w:t xml:space="preserve">    # 画出上一时间点价格</w:t>
              <w:br/>
            </w:r>
            <w:r>
              <w:rPr>
                <w:rFonts w:eastAsia="Consolas" w:ascii="Consolas" w:cs="Consolas" w:hAnsi="Consolas"/>
                <w:sz w:val="22"/>
              </w:rPr>
              <w:t xml:space="preserve">    record(stock_price=current_price)</w:t>
            </w:r>
          </w:p>
        </w:tc>
      </w:tr>
    </w:tbl>
    <w:p>
      <w:pPr>
        <w:pStyle w:val="2"/>
        <w:spacing w:before="320" w:after="120" w:line="288" w:lineRule="auto"/>
        <w:ind w:left="0"/>
        <w:jc w:val="left"/>
        <w:outlineLvl w:val="1"/>
      </w:pPr>
      <w:bookmarkStart w:name="heading_4" w:id="4"/>
      <w:r>
        <w:rPr>
          <w:rFonts w:eastAsia="等线" w:ascii="Arial" w:cs="Arial" w:hAnsi="Arial"/>
          <w:b w:val="true"/>
          <w:sz w:val="32"/>
        </w:rPr>
        <w:t>策略引擎介绍</w:t>
      </w:r>
      <w:bookmarkEnd w:id="4"/>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安全</w:t>
      </w:r>
      <w:bookmarkEnd w:id="5"/>
    </w:p>
    <w:p>
      <w:pPr>
        <w:spacing w:before="120" w:after="120" w:line="288" w:lineRule="auto"/>
        <w:ind w:left="0"/>
        <w:jc w:val="left"/>
      </w:pPr>
    </w:p>
    <w:p>
      <w:pPr>
        <w:numPr>
          <w:numId w:val="5"/>
        </w:numPr>
        <w:spacing w:before="120" w:after="120" w:line="288" w:lineRule="auto"/>
        <w:ind w:left="0"/>
        <w:jc w:val="left"/>
      </w:pPr>
      <w:r>
        <w:rPr>
          <w:rFonts w:eastAsia="等线" w:ascii="Arial" w:cs="Arial" w:hAnsi="Arial"/>
          <w:sz w:val="22"/>
        </w:rPr>
        <w:t>保证您的策略安全是我们的第一要务</w:t>
      </w:r>
    </w:p>
    <w:p>
      <w:pPr>
        <w:numPr>
          <w:numId w:val="6"/>
        </w:numPr>
        <w:spacing w:before="120" w:after="120" w:line="288" w:lineRule="auto"/>
        <w:ind w:left="0"/>
        <w:jc w:val="left"/>
      </w:pPr>
      <w:r>
        <w:rPr>
          <w:rFonts w:eastAsia="等线" w:ascii="Arial" w:cs="Arial" w:hAnsi="Arial"/>
          <w:sz w:val="22"/>
        </w:rPr>
        <w:t>在您使用我们网站的过程中, 我们全程使用https传输</w:t>
      </w:r>
    </w:p>
    <w:p>
      <w:pPr>
        <w:numPr>
          <w:numId w:val="7"/>
        </w:numPr>
        <w:spacing w:before="120" w:after="120" w:line="288" w:lineRule="auto"/>
        <w:ind w:left="0"/>
        <w:jc w:val="left"/>
      </w:pPr>
      <w:r>
        <w:rPr>
          <w:rFonts w:eastAsia="等线" w:ascii="Arial" w:cs="Arial" w:hAnsi="Arial"/>
          <w:sz w:val="22"/>
        </w:rPr>
        <w:t>策略会加密存储在数据库</w:t>
      </w:r>
    </w:p>
    <w:p>
      <w:pPr>
        <w:numPr>
          <w:numId w:val="8"/>
        </w:numPr>
        <w:spacing w:before="120" w:after="120" w:line="288" w:lineRule="auto"/>
        <w:ind w:left="0"/>
        <w:jc w:val="left"/>
      </w:pPr>
      <w:r>
        <w:rPr>
          <w:rFonts w:eastAsia="等线" w:ascii="Arial" w:cs="Arial" w:hAnsi="Arial"/>
          <w:sz w:val="22"/>
        </w:rPr>
        <w:t>请不要在其他非聚宽平台登录聚宽账号。</w:t>
      </w:r>
    </w:p>
    <w:p>
      <w:pPr>
        <w:numPr>
          <w:numId w:val="9"/>
        </w:numPr>
        <w:spacing w:before="120" w:after="120" w:line="288" w:lineRule="auto"/>
        <w:ind w:left="0"/>
        <w:jc w:val="left"/>
      </w:pPr>
      <w:r>
        <w:rPr>
          <w:rFonts w:eastAsia="等线" w:ascii="Arial" w:cs="Arial" w:hAnsi="Arial"/>
          <w:sz w:val="22"/>
        </w:rPr>
        <w:t>回测时您的策略会在一个安全的进程中执行, 我们使用了进程隔离的方案来确保系统不会被任何用户的代码攻击, 每个用户的代码都运行在一个有很强限制的进程中:</w:t>
      </w:r>
    </w:p>
    <w:p>
      <w:pPr>
        <w:numPr>
          <w:numId w:val="10"/>
        </w:numPr>
        <w:spacing w:before="120" w:after="120" w:line="288" w:lineRule="auto"/>
        <w:ind w:left="0"/>
        <w:jc w:val="left"/>
      </w:pPr>
      <w:r>
        <w:rPr>
          <w:rFonts w:eastAsia="等线" w:ascii="Arial" w:cs="Arial" w:hAnsi="Arial"/>
          <w:sz w:val="22"/>
        </w:rPr>
        <w:t>只能读指定的一些python库文件</w:t>
      </w:r>
    </w:p>
    <w:p>
      <w:pPr>
        <w:numPr>
          <w:numId w:val="11"/>
        </w:numPr>
        <w:spacing w:before="120" w:after="120" w:line="288" w:lineRule="auto"/>
        <w:ind w:left="0"/>
        <w:jc w:val="left"/>
      </w:pPr>
      <w:r>
        <w:rPr>
          <w:rFonts w:eastAsia="等线" w:ascii="Arial" w:cs="Arial" w:hAnsi="Arial"/>
          <w:sz w:val="22"/>
        </w:rPr>
        <w:t>不能写和执行任何文件, 如果您需要保存和读取私有文件, 请看</w:t>
      </w:r>
      <w:hyperlink r:id="rId12">
        <w:r>
          <w:rPr>
            <w:rFonts w:eastAsia="等线" w:ascii="Arial" w:cs="Arial" w:hAnsi="Arial"/>
            <w:color w:val="3370ff"/>
            <w:sz w:val="22"/>
          </w:rPr>
          <w:t>write_file</w:t>
        </w:r>
      </w:hyperlink>
      <w:r>
        <w:rPr>
          <w:rFonts w:eastAsia="等线" w:ascii="Arial" w:cs="Arial" w:hAnsi="Arial"/>
          <w:sz w:val="22"/>
        </w:rPr>
        <w:t>/</w:t>
      </w:r>
      <w:hyperlink r:id="rId13">
        <w:r>
          <w:rPr>
            <w:rFonts w:eastAsia="等线" w:ascii="Arial" w:cs="Arial" w:hAnsi="Arial"/>
            <w:color w:val="3370ff"/>
            <w:sz w:val="22"/>
          </w:rPr>
          <w:t>read_file</w:t>
        </w:r>
      </w:hyperlink>
    </w:p>
    <w:p>
      <w:pPr>
        <w:numPr>
          <w:numId w:val="12"/>
        </w:numPr>
        <w:spacing w:before="120" w:after="120" w:line="288" w:lineRule="auto"/>
        <w:ind w:left="0"/>
        <w:jc w:val="left"/>
      </w:pPr>
      <w:r>
        <w:rPr>
          <w:rFonts w:eastAsia="等线" w:ascii="Arial" w:cs="Arial" w:hAnsi="Arial"/>
          <w:sz w:val="22"/>
        </w:rPr>
        <w:t>限制了cpu和内存, 堆栈的使用，当使用多核时，回测耗时按CPU占用耗时计算</w:t>
      </w:r>
    </w:p>
    <w:p>
      <w:pPr>
        <w:numPr>
          <w:numId w:val="13"/>
        </w:numPr>
        <w:spacing w:before="120" w:after="120" w:line="288" w:lineRule="auto"/>
        <w:ind w:left="0"/>
        <w:jc w:val="left"/>
      </w:pPr>
      <w:r>
        <w:rPr>
          <w:rFonts w:eastAsia="等线" w:ascii="Arial" w:cs="Arial" w:hAnsi="Arial"/>
          <w:sz w:val="22"/>
        </w:rPr>
        <w:t>可以访问网络, 但是对带宽做了限制, 下载最大带宽为500Kbps, 上传带宽为10Kbps</w:t>
      </w:r>
    </w:p>
    <w:p>
      <w:pPr>
        <w:numPr>
          <w:numId w:val="14"/>
        </w:numPr>
        <w:spacing w:before="120" w:after="120" w:line="288" w:lineRule="auto"/>
        <w:ind w:left="0"/>
        <w:jc w:val="left"/>
      </w:pPr>
      <w:r>
        <w:rPr>
          <w:rFonts w:eastAsia="等线" w:ascii="Arial" w:cs="Arial" w:hAnsi="Arial"/>
          <w:sz w:val="22"/>
        </w:rPr>
        <w:t>有严格的超时机制, 如果handle_data超过30分钟则立即停止运行 对于读取回测所需要的数据, 和输出回测结果, 我们使用一个辅助进程来帮它完成, 两者之间通过管道连接.</w:t>
      </w:r>
    </w:p>
    <w:p>
      <w:pPr>
        <w:numPr>
          <w:numId w:val="15"/>
        </w:numPr>
        <w:spacing w:before="120" w:after="120" w:line="288" w:lineRule="auto"/>
        <w:ind w:left="0"/>
        <w:jc w:val="left"/>
      </w:pPr>
      <w:r>
        <w:rPr>
          <w:rFonts w:eastAsia="等线" w:ascii="Arial" w:cs="Arial" w:hAnsi="Arial"/>
          <w:sz w:val="22"/>
        </w:rPr>
        <w:t>我们使用了linux内核级别的apparmer技术来实现这一点. 有了这些限制我们确保了任何用户不能侵入我们的系统, 更别提盗取他人的策略了.</w:t>
      </w:r>
    </w:p>
    <w:p>
      <w:pPr>
        <w:pStyle w:val="3"/>
        <w:spacing w:before="300" w:after="120" w:line="288" w:lineRule="auto"/>
        <w:ind w:left="0"/>
        <w:jc w:val="left"/>
        <w:outlineLvl w:val="2"/>
      </w:pPr>
      <w:bookmarkStart w:name="heading_6" w:id="6"/>
      <w:r>
        <w:rPr>
          <w:rFonts w:eastAsia="等线" w:ascii="Arial" w:cs="Arial" w:hAnsi="Arial"/>
          <w:b w:val="true"/>
          <w:sz w:val="30"/>
        </w:rPr>
        <w:t>数据</w:t>
      </w:r>
      <w:bookmarkEnd w:id="6"/>
    </w:p>
    <w:p>
      <w:pPr>
        <w:numPr>
          <w:numId w:val="16"/>
        </w:numPr>
        <w:spacing w:before="120" w:after="120" w:line="288" w:lineRule="auto"/>
        <w:ind w:left="0"/>
        <w:jc w:val="left"/>
      </w:pPr>
      <w:r>
        <w:rPr>
          <w:rFonts w:eastAsia="等线" w:ascii="Arial" w:cs="Arial" w:hAnsi="Arial"/>
          <w:sz w:val="22"/>
        </w:rPr>
        <w:t>股票数据：我们拥有所有A股上市公司2005年以来的</w:t>
      </w:r>
      <w:hyperlink r:id="rId14">
        <w:r>
          <w:rPr>
            <w:rFonts w:eastAsia="等线" w:ascii="Arial" w:cs="Arial" w:hAnsi="Arial"/>
            <w:color w:val="3370ff"/>
            <w:sz w:val="22"/>
          </w:rPr>
          <w:t>股票行情数据</w:t>
        </w:r>
      </w:hyperlink>
      <w:r>
        <w:rPr>
          <w:rFonts w:eastAsia="等线" w:ascii="Arial" w:cs="Arial" w:hAnsi="Arial"/>
          <w:sz w:val="22"/>
        </w:rPr>
        <w:t>、</w:t>
      </w:r>
      <w:hyperlink r:id="rId15">
        <w:r>
          <w:rPr>
            <w:rFonts w:eastAsia="等线" w:ascii="Arial" w:cs="Arial" w:hAnsi="Arial"/>
            <w:color w:val="3370ff"/>
            <w:sz w:val="22"/>
          </w:rPr>
          <w:t>财务数据</w:t>
        </w:r>
      </w:hyperlink>
      <w:r>
        <w:rPr>
          <w:rFonts w:eastAsia="等线" w:ascii="Arial" w:cs="Arial" w:hAnsi="Arial"/>
          <w:sz w:val="22"/>
        </w:rPr>
        <w:t>、</w:t>
      </w:r>
      <w:hyperlink r:id="rId16">
        <w:r>
          <w:rPr>
            <w:rFonts w:eastAsia="等线" w:ascii="Arial" w:cs="Arial" w:hAnsi="Arial"/>
            <w:color w:val="3370ff"/>
            <w:sz w:val="22"/>
          </w:rPr>
          <w:t>上市公司基本信息</w:t>
        </w:r>
      </w:hyperlink>
      <w:r>
        <w:rPr>
          <w:rFonts w:eastAsia="等线" w:ascii="Arial" w:cs="Arial" w:hAnsi="Arial"/>
          <w:sz w:val="22"/>
        </w:rPr>
        <w:t>、</w:t>
      </w:r>
      <w:hyperlink r:id="rId17">
        <w:r>
          <w:rPr>
            <w:rFonts w:eastAsia="等线" w:ascii="Arial" w:cs="Arial" w:hAnsi="Arial"/>
            <w:color w:val="3370ff"/>
            <w:sz w:val="22"/>
          </w:rPr>
          <w:t>融资融券信息</w:t>
        </w:r>
      </w:hyperlink>
      <w:r>
        <w:rPr>
          <w:rFonts w:eastAsia="等线" w:ascii="Arial" w:cs="Arial" w:hAnsi="Arial"/>
          <w:sz w:val="22"/>
        </w:rPr>
        <w:t>等。为了避免幸存者偏差，我们包括了已经退市的股票数据。其中volume（成交量）字段单位是股。</w:t>
      </w:r>
    </w:p>
    <w:p>
      <w:pPr>
        <w:numPr>
          <w:numId w:val="17"/>
        </w:numPr>
        <w:spacing w:before="120" w:after="120" w:line="288" w:lineRule="auto"/>
        <w:ind w:left="0"/>
        <w:jc w:val="left"/>
      </w:pPr>
      <w:r>
        <w:rPr>
          <w:rFonts w:eastAsia="等线" w:ascii="Arial" w:cs="Arial" w:hAnsi="Arial"/>
          <w:sz w:val="22"/>
        </w:rPr>
        <w:t>基金数据：我们目前提供了600多种在交易所上市的基金的行情、净值等数据，包含ETF、LOF、分级A/B基金以及货币基金的完整的行情、净值数据等，请点击</w:t>
      </w:r>
      <w:hyperlink r:id="rId18">
        <w:r>
          <w:rPr>
            <w:rFonts w:eastAsia="等线" w:ascii="Arial" w:cs="Arial" w:hAnsi="Arial"/>
            <w:color w:val="3370ff"/>
            <w:sz w:val="22"/>
          </w:rPr>
          <w:t>基金数据</w:t>
        </w:r>
      </w:hyperlink>
      <w:r>
        <w:rPr>
          <w:rFonts w:eastAsia="等线" w:ascii="Arial" w:cs="Arial" w:hAnsi="Arial"/>
          <w:sz w:val="22"/>
        </w:rPr>
        <w:t>查看。</w:t>
      </w:r>
    </w:p>
    <w:p>
      <w:pPr>
        <w:numPr>
          <w:numId w:val="18"/>
        </w:numPr>
        <w:spacing w:before="120" w:after="120" w:line="288" w:lineRule="auto"/>
        <w:ind w:left="0"/>
        <w:jc w:val="left"/>
      </w:pPr>
      <w:r>
        <w:rPr>
          <w:rFonts w:eastAsia="等线" w:ascii="Arial" w:cs="Arial" w:hAnsi="Arial"/>
          <w:sz w:val="22"/>
        </w:rPr>
        <w:t>金融期货数据：我们提供中金所推出的所有</w:t>
      </w:r>
      <w:hyperlink r:id="rId19">
        <w:r>
          <w:rPr>
            <w:rFonts w:eastAsia="等线" w:ascii="Arial" w:cs="Arial" w:hAnsi="Arial"/>
            <w:color w:val="3370ff"/>
            <w:sz w:val="22"/>
          </w:rPr>
          <w:t>金融期货产品</w:t>
        </w:r>
      </w:hyperlink>
      <w:r>
        <w:rPr>
          <w:rFonts w:eastAsia="等线" w:ascii="Arial" w:cs="Arial" w:hAnsi="Arial"/>
          <w:sz w:val="22"/>
        </w:rPr>
        <w:t>的行情数据，并包含历史产品的数据。</w:t>
      </w:r>
    </w:p>
    <w:p>
      <w:pPr>
        <w:numPr>
          <w:numId w:val="19"/>
        </w:numPr>
        <w:spacing w:before="120" w:after="120" w:line="288" w:lineRule="auto"/>
        <w:ind w:left="0"/>
        <w:jc w:val="left"/>
      </w:pPr>
      <w:r>
        <w:rPr>
          <w:rFonts w:eastAsia="等线" w:ascii="Arial" w:cs="Arial" w:hAnsi="Arial"/>
          <w:sz w:val="22"/>
        </w:rPr>
        <w:t>股票指数：我们支持近600种</w:t>
      </w:r>
      <w:hyperlink r:id="rId20">
        <w:r>
          <w:rPr>
            <w:rFonts w:eastAsia="等线" w:ascii="Arial" w:cs="Arial" w:hAnsi="Arial"/>
            <w:color w:val="3370ff"/>
            <w:sz w:val="22"/>
          </w:rPr>
          <w:t>指数数据</w:t>
        </w:r>
      </w:hyperlink>
      <w:r>
        <w:rPr>
          <w:rFonts w:eastAsia="等线" w:ascii="Arial" w:cs="Arial" w:hAnsi="Arial"/>
          <w:sz w:val="22"/>
        </w:rPr>
        <w:t>，包括指数的行情数据以及成分股数据。为了避免未来函数，我们支持获取历史任意时刻的指数成分股信息，具体见</w:t>
      </w:r>
      <w:hyperlink r:id="rId21">
        <w:r>
          <w:rPr>
            <w:rFonts w:eastAsia="等线" w:ascii="Arial" w:cs="Arial" w:hAnsi="Arial"/>
            <w:color w:val="3370ff"/>
            <w:sz w:val="22"/>
          </w:rPr>
          <w:t>get_index_stocks</w:t>
        </w:r>
      </w:hyperlink>
      <w:r>
        <w:rPr>
          <w:rFonts w:eastAsia="等线" w:ascii="Arial" w:cs="Arial" w:hAnsi="Arial"/>
          <w:sz w:val="22"/>
        </w:rPr>
        <w:t>。</w:t>
      </w:r>
    </w:p>
    <w:p>
      <w:pPr>
        <w:numPr>
          <w:numId w:val="20"/>
        </w:numPr>
        <w:spacing w:before="120" w:after="120" w:line="288" w:lineRule="auto"/>
        <w:ind w:left="0"/>
        <w:jc w:val="left"/>
      </w:pPr>
      <w:r>
        <w:rPr>
          <w:rFonts w:eastAsia="等线" w:ascii="Arial" w:cs="Arial" w:hAnsi="Arial"/>
          <w:sz w:val="22"/>
        </w:rPr>
        <w:t>行业板块：我们支持按行业、按板块选股，具体见</w:t>
      </w:r>
      <w:hyperlink r:id="rId22">
        <w:r>
          <w:rPr>
            <w:rFonts w:eastAsia="等线" w:ascii="Arial" w:cs="Arial" w:hAnsi="Arial"/>
            <w:color w:val="3370ff"/>
            <w:sz w:val="22"/>
          </w:rPr>
          <w:t>get_industry_stocks</w:t>
        </w:r>
      </w:hyperlink>
    </w:p>
    <w:p>
      <w:pPr>
        <w:numPr>
          <w:numId w:val="21"/>
        </w:numPr>
        <w:spacing w:before="120" w:after="120" w:line="288" w:lineRule="auto"/>
        <w:ind w:left="0"/>
        <w:jc w:val="left"/>
      </w:pPr>
      <w:r>
        <w:rPr>
          <w:rFonts w:eastAsia="等线" w:ascii="Arial" w:cs="Arial" w:hAnsi="Arial"/>
          <w:sz w:val="22"/>
        </w:rPr>
        <w:t>概念板块：我们支持按概念板块选股，具体见</w:t>
      </w:r>
      <w:hyperlink r:id="rId23">
        <w:r>
          <w:rPr>
            <w:rFonts w:eastAsia="等线" w:ascii="Arial" w:cs="Arial" w:hAnsi="Arial"/>
            <w:color w:val="3370ff"/>
            <w:sz w:val="22"/>
          </w:rPr>
          <w:t>get_concept_stocks</w:t>
        </w:r>
      </w:hyperlink>
    </w:p>
    <w:p>
      <w:pPr>
        <w:numPr>
          <w:numId w:val="22"/>
        </w:numPr>
        <w:spacing w:before="120" w:after="120" w:line="288" w:lineRule="auto"/>
        <w:ind w:left="0"/>
        <w:jc w:val="left"/>
      </w:pPr>
      <w:r>
        <w:rPr>
          <w:rFonts w:eastAsia="等线" w:ascii="Arial" w:cs="Arial" w:hAnsi="Arial"/>
          <w:sz w:val="22"/>
        </w:rPr>
        <w:t>所有的行情数据我们均已处理好前复权信息。</w:t>
      </w:r>
    </w:p>
    <w:p>
      <w:pPr>
        <w:numPr>
          <w:numId w:val="23"/>
        </w:numPr>
        <w:spacing w:before="120" w:after="120" w:line="288" w:lineRule="auto"/>
        <w:ind w:left="0"/>
        <w:jc w:val="left"/>
      </w:pPr>
      <w:r>
        <w:rPr>
          <w:rFonts w:eastAsia="等线" w:ascii="Arial" w:cs="Arial" w:hAnsi="Arial"/>
          <w:sz w:val="22"/>
        </w:rPr>
        <w:t>我们当日的回测数据会在收盘后通过多数据源进行校验，并在T+1（第二天）的00:01更新。</w:t>
      </w:r>
    </w:p>
    <w:p>
      <w:pPr>
        <w:numPr>
          <w:numId w:val="24"/>
        </w:numPr>
        <w:spacing w:before="120" w:after="120" w:line="288" w:lineRule="auto"/>
        <w:ind w:left="0"/>
        <w:jc w:val="left"/>
      </w:pPr>
      <w:r>
        <w:rPr>
          <w:rFonts w:eastAsia="等线" w:ascii="Arial" w:cs="Arial" w:hAnsi="Arial"/>
          <w:sz w:val="22"/>
        </w:rPr>
        <w:t>我们提供的所有行情K线数据为后对齐，标识K线的时间为数据的结束时间。在一分钟K线上，没有09:30，从09:31开始，有15:00的K线，共计240根。表示时间为09:31的一分钟K线，其数据时间为09:25:00~09:30:59，这一分钟的开盘价是09:25的集合竞价的价格。</w:t>
      </w:r>
    </w:p>
    <w:p>
      <w:pPr>
        <w:numPr>
          <w:numId w:val="25"/>
        </w:numPr>
        <w:spacing w:before="120" w:after="120" w:line="288" w:lineRule="auto"/>
        <w:ind w:left="0"/>
        <w:jc w:val="left"/>
      </w:pPr>
      <w:r>
        <w:rPr>
          <w:rFonts w:eastAsia="等线" w:ascii="Arial" w:cs="Arial" w:hAnsi="Arial"/>
          <w:sz w:val="22"/>
        </w:rPr>
        <w:t xml:space="preserve">期货K线的划分方式：将标的当天的开盘时间到收盘时间的日历时间按照划分单位划分区间，然后将同一个区间的分钟bar合并。例如，某个标的的开盘时间为09:30,收盘时间为15:00，然后划分单位为5m，划分bar的逻辑如下：将09:30-15:00按照5m划分区间，然后将这个标当天行情在同一个区间的分钟bar合并。   </w:t>
      </w:r>
    </w:p>
    <w:p>
      <w:pPr>
        <w:pStyle w:val="3"/>
        <w:spacing w:before="300" w:after="120" w:line="288" w:lineRule="auto"/>
        <w:ind w:left="0"/>
        <w:jc w:val="left"/>
        <w:outlineLvl w:val="2"/>
      </w:pPr>
      <w:bookmarkStart w:name="heading_7" w:id="7"/>
      <w:r>
        <w:rPr>
          <w:rFonts w:eastAsia="等线" w:ascii="Arial" w:cs="Arial" w:hAnsi="Arial"/>
          <w:b w:val="true"/>
          <w:sz w:val="30"/>
        </w:rPr>
        <w:t>运行频率</w:t>
      </w:r>
      <w:bookmarkEnd w:id="7"/>
    </w:p>
    <w:p>
      <w:pPr>
        <w:spacing w:before="120" w:after="120" w:line="288" w:lineRule="auto"/>
        <w:ind w:left="0"/>
        <w:jc w:val="left"/>
      </w:pPr>
    </w:p>
    <w:p>
      <w:pPr>
        <w:spacing w:before="120" w:after="120" w:line="288" w:lineRule="auto"/>
        <w:ind w:left="0"/>
        <w:jc w:val="left"/>
      </w:pPr>
      <w:r>
        <w:rPr>
          <w:rFonts w:eastAsia="等线" w:ascii="Arial" w:cs="Arial" w:hAnsi="Arial"/>
          <w:sz w:val="22"/>
        </w:rPr>
        <w:t>聚宽支持天、分钟及tick频率，其他频率您可以在此基础上自己根据时间判断，有关</w:t>
      </w:r>
      <w:hyperlink r:id="rId24">
        <w:r>
          <w:rPr>
            <w:rFonts w:eastAsia="等线" w:ascii="Arial" w:cs="Arial" w:hAnsi="Arial"/>
            <w:color w:val="3370ff"/>
            <w:sz w:val="22"/>
          </w:rPr>
          <w:t>运行频率解析及隔固定时间运行方法请点击查看</w:t>
        </w:r>
      </w:hyperlink>
      <w:r>
        <w:rPr>
          <w:rFonts w:eastAsia="等线" w:ascii="Arial" w:cs="Arial" w:hAnsi="Arial"/>
          <w:sz w:val="22"/>
        </w:rPr>
        <w:t>，下面是运行频率的详细说明。</w:t>
      </w:r>
    </w:p>
    <w:p>
      <w:pPr>
        <w:numPr>
          <w:numId w:val="26"/>
        </w:numPr>
        <w:spacing w:before="120" w:after="120" w:line="288" w:lineRule="auto"/>
        <w:ind w:left="0"/>
        <w:jc w:val="left"/>
      </w:pPr>
      <w:r>
        <w:rPr>
          <w:rFonts w:eastAsia="等线" w:ascii="Arial" w:cs="Arial" w:hAnsi="Arial"/>
          <w:b w:val="true"/>
          <w:sz w:val="22"/>
        </w:rPr>
        <w:t>Bar 的概念</w:t>
      </w:r>
    </w:p>
    <w:p>
      <w:pPr>
        <w:spacing w:before="120" w:after="120" w:line="288" w:lineRule="auto"/>
        <w:ind w:left="0"/>
        <w:jc w:val="left"/>
      </w:pPr>
      <w:r>
        <w:rPr>
          <w:rFonts w:eastAsia="等线" w:ascii="Arial" w:cs="Arial" w:hAnsi="Arial"/>
          <w:sz w:val="22"/>
        </w:rPr>
        <w:t>在一定时间段内的时间序列就构成了一根 K 线（日本蜡烛图），单根 K 线被称为 Bar。</w:t>
      </w:r>
    </w:p>
    <w:p>
      <w:pPr>
        <w:spacing w:before="120" w:after="120" w:line="288" w:lineRule="auto"/>
        <w:ind w:left="0"/>
        <w:jc w:val="left"/>
      </w:pPr>
      <w:r>
        <w:rPr>
          <w:rFonts w:eastAsia="等线" w:ascii="Arial" w:cs="Arial" w:hAnsi="Arial"/>
          <w:sz w:val="22"/>
        </w:rPr>
        <w:t>如果是一分钟内的 Tick 序列，即构成一根分钟 K 线，又称分钟 Bar;</w:t>
      </w:r>
    </w:p>
    <w:p>
      <w:pPr>
        <w:spacing w:before="120" w:after="120" w:line="288" w:lineRule="auto"/>
        <w:ind w:left="0"/>
        <w:jc w:val="left"/>
      </w:pPr>
      <w:r>
        <w:rPr>
          <w:rFonts w:eastAsia="等线" w:ascii="Arial" w:cs="Arial" w:hAnsi="Arial"/>
          <w:sz w:val="22"/>
        </w:rPr>
        <w:t xml:space="preserve"> 如果是一天内的分钟序列，即构成一根日线 K 线，又称日线 Bar;</w:t>
      </w:r>
    </w:p>
    <w:p>
      <w:pPr>
        <w:spacing w:before="120" w:after="120" w:line="288" w:lineRule="auto"/>
        <w:ind w:left="0"/>
        <w:jc w:val="left"/>
      </w:pPr>
      <w:r>
        <w:rPr>
          <w:rFonts w:eastAsia="等线" w:ascii="Arial" w:cs="Arial" w:hAnsi="Arial"/>
          <w:sz w:val="22"/>
        </w:rPr>
        <w:t>Bar 的示意图如下所示：</w:t>
      </w:r>
    </w:p>
    <w:p>
      <w:pPr>
        <w:spacing w:before="120" w:after="120" w:line="288" w:lineRule="auto"/>
        <w:ind w:left="0"/>
        <w:jc w:val="center"/>
      </w:pPr>
      <w:r>
        <w:drawing>
          <wp:inline distT="0" distR="0" distB="0" distL="0">
            <wp:extent cx="5257800" cy="29718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25"/>
                    <a:stretch>
                      <a:fillRect/>
                    </a:stretch>
                  </pic:blipFill>
                  <pic:spPr>
                    <a:xfrm>
                      <a:off x="0" y="0"/>
                      <a:ext cx="5257800" cy="2971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Bar 就是时间维度上，价格在空间维度上变化构成的数据单元。如下图所示，多个数据单元 Bar 构成的一个时间序列。</w:t>
      </w:r>
    </w:p>
    <w:p>
      <w:pPr>
        <w:spacing w:before="120" w:after="120" w:line="288" w:lineRule="auto"/>
        <w:ind w:left="0"/>
        <w:jc w:val="center"/>
      </w:pPr>
      <w:r>
        <w:drawing>
          <wp:inline distT="0" distR="0" distB="0" distL="0">
            <wp:extent cx="5257800" cy="33528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26"/>
                    <a:stretch>
                      <a:fillRect/>
                    </a:stretch>
                  </pic:blipFill>
                  <pic:spPr>
                    <a:xfrm>
                      <a:off x="0" y="0"/>
                      <a:ext cx="5257800" cy="3352800"/>
                    </a:xfrm>
                    <a:prstGeom prst="rect">
                      <a:avLst/>
                    </a:prstGeom>
                  </pic:spPr>
                </pic:pic>
              </a:graphicData>
            </a:graphic>
          </wp:inline>
        </w:drawing>
      </w:r>
    </w:p>
    <w:p>
      <w:pPr>
        <w:numPr>
          <w:numId w:val="27"/>
        </w:numPr>
        <w:spacing w:before="120" w:after="120" w:line="288" w:lineRule="auto"/>
        <w:ind w:left="0"/>
        <w:jc w:val="left"/>
      </w:pPr>
      <w:r>
        <w:rPr>
          <w:rFonts w:eastAsia="等线" w:ascii="Arial" w:cs="Arial" w:hAnsi="Arial"/>
          <w:b w:val="true"/>
          <w:sz w:val="22"/>
        </w:rPr>
        <w:t>频率详解</w:t>
      </w:r>
    </w:p>
    <w:p>
      <w:pPr>
        <w:spacing w:before="120" w:after="120" w:line="288" w:lineRule="auto"/>
        <w:ind w:left="0"/>
        <w:jc w:val="left"/>
      </w:pPr>
      <w:r>
        <w:rPr>
          <w:rFonts w:eastAsia="等线" w:ascii="Arial" w:cs="Arial" w:hAnsi="Arial"/>
          <w:sz w:val="22"/>
        </w:rPr>
        <w:t>下列图片中齿轮为 handle_data(context, data) 的运行时间，before_trading_start(context) 等其他函数运行时间详见</w:t>
      </w:r>
      <w:hyperlink r:id="rId27">
        <w:r>
          <w:rPr>
            <w:rFonts w:eastAsia="等线" w:ascii="Arial" w:cs="Arial" w:hAnsi="Arial"/>
            <w:color w:val="3370ff"/>
            <w:sz w:val="22"/>
          </w:rPr>
          <w:t>相关API</w:t>
        </w:r>
      </w:hyperlink>
      <w:r>
        <w:rPr>
          <w:rFonts w:eastAsia="等线" w:ascii="Arial" w:cs="Arial" w:hAnsi="Arial"/>
          <w:sz w:val="22"/>
        </w:rPr>
        <w:t>。</w:t>
      </w:r>
    </w:p>
    <w:p>
      <w:pPr>
        <w:spacing w:before="120" w:after="120" w:line="288" w:lineRule="auto"/>
        <w:ind w:left="0"/>
        <w:jc w:val="left"/>
      </w:pPr>
      <w:r>
        <w:rPr>
          <w:rFonts w:eastAsia="等线" w:ascii="Arial" w:cs="Arial" w:hAnsi="Arial"/>
          <w:b w:val="true"/>
          <w:sz w:val="22"/>
        </w:rPr>
        <w:t>频率：天</w:t>
      </w:r>
    </w:p>
    <w:p>
      <w:pPr>
        <w:spacing w:before="120" w:after="120" w:line="288" w:lineRule="auto"/>
        <w:ind w:left="0"/>
        <w:jc w:val="left"/>
      </w:pPr>
      <w:r>
        <w:rPr>
          <w:rFonts w:eastAsia="等线" w:ascii="Arial" w:cs="Arial" w:hAnsi="Arial"/>
          <w:sz w:val="22"/>
        </w:rPr>
        <w:t xml:space="preserve">当选择天频率时， 算法在每根日线 Bar 都会运行一次，即每天运行一次。 </w:t>
      </w:r>
    </w:p>
    <w:p>
      <w:pPr>
        <w:spacing w:before="120" w:after="120" w:line="288" w:lineRule="auto"/>
        <w:ind w:left="0"/>
        <w:jc w:val="left"/>
      </w:pPr>
      <w:r>
        <w:rPr>
          <w:rFonts w:eastAsia="等线" w:ascii="Arial" w:cs="Arial" w:hAnsi="Arial"/>
          <w:sz w:val="22"/>
        </w:rPr>
        <w:t xml:space="preserve">在算法中，可以获取任何粒度的数据。 </w:t>
      </w:r>
    </w:p>
    <w:p>
      <w:pPr>
        <w:spacing w:before="120" w:after="120" w:line="288" w:lineRule="auto"/>
        <w:ind w:left="0"/>
        <w:jc w:val="center"/>
      </w:pPr>
      <w:r>
        <w:drawing>
          <wp:inline distT="0" distR="0" distB="0" distL="0">
            <wp:extent cx="5257800" cy="32004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28"/>
                    <a:stretch>
                      <a:fillRect/>
                    </a:stretch>
                  </pic:blipFill>
                  <pic:spPr>
                    <a:xfrm>
                      <a:off x="0" y="0"/>
                      <a:ext cx="5257800" cy="32004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频率：分钟</w:t>
      </w:r>
    </w:p>
    <w:p>
      <w:pPr>
        <w:spacing w:before="120" w:after="120" w:line="288" w:lineRule="auto"/>
        <w:ind w:left="0"/>
        <w:jc w:val="left"/>
      </w:pPr>
      <w:r>
        <w:rPr>
          <w:rFonts w:eastAsia="等线" w:ascii="Arial" w:cs="Arial" w:hAnsi="Arial"/>
          <w:sz w:val="22"/>
        </w:rPr>
        <w:t>当选择分钟频率时， 算法在每根分钟 Bar 都会运行一次，即每分钟运行一次。</w:t>
      </w:r>
    </w:p>
    <w:p>
      <w:pPr>
        <w:spacing w:before="120" w:after="120" w:line="288" w:lineRule="auto"/>
        <w:ind w:left="0"/>
        <w:jc w:val="left"/>
      </w:pPr>
      <w:r>
        <w:rPr>
          <w:rFonts w:eastAsia="等线" w:ascii="Arial" w:cs="Arial" w:hAnsi="Arial"/>
          <w:sz w:val="22"/>
        </w:rPr>
        <w:t xml:space="preserve">在算法中，可以获取任何粒度的数据。 </w:t>
      </w:r>
    </w:p>
    <w:p>
      <w:pPr>
        <w:spacing w:before="120" w:after="120" w:line="288" w:lineRule="auto"/>
        <w:ind w:left="0"/>
        <w:jc w:val="center"/>
      </w:pPr>
      <w:r>
        <w:drawing>
          <wp:inline distT="0" distR="0" distB="0" distL="0">
            <wp:extent cx="5257800" cy="33623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29"/>
                    <a:stretch>
                      <a:fillRect/>
                    </a:stretch>
                  </pic:blipFill>
                  <pic:spPr>
                    <a:xfrm>
                      <a:off x="0" y="0"/>
                      <a:ext cx="5257800" cy="33623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频率：Tick</w:t>
      </w:r>
    </w:p>
    <w:p>
      <w:pPr>
        <w:spacing w:before="120" w:after="120" w:line="288" w:lineRule="auto"/>
        <w:ind w:left="0"/>
        <w:jc w:val="left"/>
      </w:pPr>
      <w:r>
        <w:rPr>
          <w:rFonts w:eastAsia="等线" w:ascii="Arial" w:cs="Arial" w:hAnsi="Arial"/>
          <w:sz w:val="22"/>
        </w:rPr>
        <w:t>当选择 Tick 频率时，每当新来一个 Tick，算法都会被执行一次。</w:t>
      </w:r>
    </w:p>
    <w:p>
      <w:pPr>
        <w:spacing w:before="120" w:after="120" w:line="288" w:lineRule="auto"/>
        <w:ind w:left="0"/>
        <w:jc w:val="left"/>
      </w:pPr>
      <w:r>
        <w:rPr>
          <w:rFonts w:eastAsia="等线" w:ascii="Arial" w:cs="Arial" w:hAnsi="Arial"/>
          <w:sz w:val="22"/>
        </w:rPr>
        <w:t>执行示意图如下图所示：</w:t>
      </w:r>
    </w:p>
    <w:p>
      <w:pPr>
        <w:spacing w:before="120" w:after="120" w:line="288" w:lineRule="auto"/>
        <w:ind w:left="0"/>
        <w:jc w:val="center"/>
      </w:pPr>
      <w:r>
        <w:drawing>
          <wp:inline distT="0" distR="0" distB="0" distL="0">
            <wp:extent cx="5257800" cy="30956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30"/>
                    <a:stretch>
                      <a:fillRect/>
                    </a:stretch>
                  </pic:blipFill>
                  <pic:spPr>
                    <a:xfrm>
                      <a:off x="0" y="0"/>
                      <a:ext cx="5257800" cy="3095625"/>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运行时间</w:t>
      </w:r>
      <w:bookmarkEnd w:id="8"/>
    </w:p>
    <w:p>
      <w:pPr>
        <w:spacing w:before="120" w:after="120" w:line="288" w:lineRule="auto"/>
        <w:ind w:left="0"/>
        <w:jc w:val="left"/>
      </w:pPr>
      <w:r>
        <w:rPr>
          <w:rFonts w:eastAsia="等线" w:ascii="Arial" w:cs="Arial" w:hAnsi="Arial"/>
          <w:sz w:val="22"/>
        </w:rPr>
        <w:t>设置您的策略什么时候运行，主要由设置策略频率（天、分钟或者tick）与</w:t>
      </w:r>
      <w:hyperlink r:id="rId31">
        <w:r>
          <w:rPr>
            <w:rFonts w:eastAsia="等线" w:ascii="Arial" w:cs="Arial" w:hAnsi="Arial"/>
            <w:color w:val="3370ff"/>
            <w:sz w:val="22"/>
          </w:rPr>
          <w:t>控制策略运行时间的API</w:t>
        </w:r>
      </w:hyperlink>
      <w:r>
        <w:rPr>
          <w:rFonts w:eastAsia="等线" w:ascii="Arial" w:cs="Arial" w:hAnsi="Arial"/>
          <w:sz w:val="22"/>
        </w:rPr>
        <w:t>共同完成</w:t>
      </w:r>
    </w:p>
    <w:p>
      <w:pPr>
        <w:numPr>
          <w:numId w:val="28"/>
        </w:numPr>
        <w:spacing w:before="120" w:after="120" w:line="288" w:lineRule="auto"/>
        <w:ind w:left="0"/>
        <w:jc w:val="left"/>
      </w:pPr>
      <w:r>
        <w:rPr>
          <w:rFonts w:eastAsia="等线" w:ascii="Arial" w:cs="Arial" w:hAnsi="Arial"/>
          <w:sz w:val="22"/>
        </w:rPr>
        <w:t>开盘前(9:00)运行:</w:t>
      </w:r>
    </w:p>
    <w:p>
      <w:pPr>
        <w:numPr>
          <w:numId w:val="29"/>
        </w:numPr>
        <w:spacing w:before="120" w:after="120" w:line="288" w:lineRule="auto"/>
        <w:ind w:left="453"/>
        <w:jc w:val="left"/>
      </w:pPr>
      <w:hyperlink r:id="rId32">
        <w:r>
          <w:rPr>
            <w:rFonts w:eastAsia="等线" w:ascii="Arial" w:cs="Arial" w:hAnsi="Arial"/>
            <w:color w:val="3370ff"/>
            <w:sz w:val="22"/>
          </w:rPr>
          <w:t>run_monthly</w:t>
        </w:r>
      </w:hyperlink>
      <w:r>
        <w:rPr>
          <w:rFonts w:eastAsia="等线" w:ascii="Arial" w:cs="Arial" w:hAnsi="Arial"/>
          <w:sz w:val="22"/>
        </w:rPr>
        <w:t>/</w:t>
      </w:r>
      <w:hyperlink r:id="rId33">
        <w:r>
          <w:rPr>
            <w:rFonts w:eastAsia="等线" w:ascii="Arial" w:cs="Arial" w:hAnsi="Arial"/>
            <w:color w:val="3370ff"/>
            <w:sz w:val="22"/>
          </w:rPr>
          <w:t>run_weekly</w:t>
        </w:r>
      </w:hyperlink>
      <w:r>
        <w:rPr>
          <w:rFonts w:eastAsia="等线" w:ascii="Arial" w:cs="Arial" w:hAnsi="Arial"/>
          <w:sz w:val="22"/>
        </w:rPr>
        <w:t>/</w:t>
      </w:r>
      <w:hyperlink r:id="rId34">
        <w:r>
          <w:rPr>
            <w:rFonts w:eastAsia="等线" w:ascii="Arial" w:cs="Arial" w:hAnsi="Arial"/>
            <w:color w:val="3370ff"/>
            <w:sz w:val="22"/>
          </w:rPr>
          <w:t>run_daily</w:t>
        </w:r>
      </w:hyperlink>
      <w:r>
        <w:rPr>
          <w:rFonts w:eastAsia="等线" w:ascii="Arial" w:cs="Arial" w:hAnsi="Arial"/>
          <w:sz w:val="22"/>
        </w:rPr>
        <w:t>中指定time='09:00'运行的函数</w:t>
      </w:r>
    </w:p>
    <w:p>
      <w:pPr>
        <w:numPr>
          <w:numId w:val="30"/>
        </w:numPr>
        <w:spacing w:before="120" w:after="120" w:line="288" w:lineRule="auto"/>
        <w:ind w:left="453"/>
        <w:jc w:val="left"/>
      </w:pPr>
      <w:hyperlink r:id="rId35">
        <w:r>
          <w:rPr>
            <w:rFonts w:eastAsia="等线" w:ascii="Arial" w:cs="Arial" w:hAnsi="Arial"/>
            <w:color w:val="3370ff"/>
            <w:sz w:val="22"/>
          </w:rPr>
          <w:t>before_trading_start</w:t>
        </w:r>
      </w:hyperlink>
    </w:p>
    <w:p>
      <w:pPr>
        <w:numPr>
          <w:numId w:val="31"/>
        </w:numPr>
        <w:spacing w:before="120" w:after="120" w:line="288" w:lineRule="auto"/>
        <w:ind w:left="0"/>
        <w:jc w:val="left"/>
      </w:pPr>
      <w:r>
        <w:rPr>
          <w:rFonts w:eastAsia="等线" w:ascii="Arial" w:cs="Arial" w:hAnsi="Arial"/>
          <w:sz w:val="22"/>
        </w:rPr>
        <w:t>盘中运行:</w:t>
      </w:r>
    </w:p>
    <w:p>
      <w:pPr>
        <w:numPr>
          <w:numId w:val="32"/>
        </w:numPr>
        <w:spacing w:before="120" w:after="120" w:line="288" w:lineRule="auto"/>
        <w:ind w:left="453"/>
        <w:jc w:val="left"/>
      </w:pPr>
      <w:hyperlink r:id="rId36">
        <w:r>
          <w:rPr>
            <w:rFonts w:eastAsia="等线" w:ascii="Arial" w:cs="Arial" w:hAnsi="Arial"/>
            <w:color w:val="3370ff"/>
            <w:sz w:val="22"/>
          </w:rPr>
          <w:t>run_monthly</w:t>
        </w:r>
      </w:hyperlink>
      <w:r>
        <w:rPr>
          <w:rFonts w:eastAsia="等线" w:ascii="Arial" w:cs="Arial" w:hAnsi="Arial"/>
          <w:sz w:val="22"/>
        </w:rPr>
        <w:t>/</w:t>
      </w:r>
      <w:hyperlink r:id="rId37">
        <w:r>
          <w:rPr>
            <w:rFonts w:eastAsia="等线" w:ascii="Arial" w:cs="Arial" w:hAnsi="Arial"/>
            <w:color w:val="3370ff"/>
            <w:sz w:val="22"/>
          </w:rPr>
          <w:t>run_weekly</w:t>
        </w:r>
      </w:hyperlink>
      <w:r>
        <w:rPr>
          <w:rFonts w:eastAsia="等线" w:ascii="Arial" w:cs="Arial" w:hAnsi="Arial"/>
          <w:sz w:val="22"/>
        </w:rPr>
        <w:t>/</w:t>
      </w:r>
      <w:hyperlink r:id="rId38">
        <w:r>
          <w:rPr>
            <w:rFonts w:eastAsia="等线" w:ascii="Arial" w:cs="Arial" w:hAnsi="Arial"/>
            <w:color w:val="3370ff"/>
            <w:sz w:val="22"/>
          </w:rPr>
          <w:t>run_daily</w:t>
        </w:r>
      </w:hyperlink>
      <w:r>
        <w:rPr>
          <w:rFonts w:eastAsia="等线" w:ascii="Arial" w:cs="Arial" w:hAnsi="Arial"/>
          <w:sz w:val="22"/>
        </w:rPr>
        <w:t xml:space="preserve">中在指定交易时间执行的函数, 执行时间为这分钟的第一秒. 例如: </w:t>
      </w:r>
      <w:r>
        <w:rPr>
          <w:rFonts w:eastAsia="Consolas" w:ascii="Consolas" w:cs="Consolas" w:hAnsi="Consolas"/>
          <w:sz w:val="22"/>
          <w:shd w:fill="EFF0F1"/>
        </w:rPr>
        <w:t>run_daily(func, '14:50')</w:t>
      </w:r>
      <w:r>
        <w:rPr>
          <w:rFonts w:eastAsia="等线" w:ascii="Arial" w:cs="Arial" w:hAnsi="Arial"/>
          <w:sz w:val="22"/>
        </w:rPr>
        <w:t xml:space="preserve"> 会在每天的14:50:00(精确到秒)执行</w:t>
      </w:r>
    </w:p>
    <w:p>
      <w:pPr>
        <w:numPr>
          <w:numId w:val="33"/>
        </w:numPr>
        <w:spacing w:before="120" w:after="120" w:line="288" w:lineRule="auto"/>
        <w:ind w:left="453"/>
        <w:jc w:val="left"/>
      </w:pPr>
      <w:hyperlink r:id="rId39">
        <w:r>
          <w:rPr>
            <w:rFonts w:eastAsia="等线" w:ascii="Arial" w:cs="Arial" w:hAnsi="Arial"/>
            <w:color w:val="3370ff"/>
            <w:sz w:val="22"/>
          </w:rPr>
          <w:t>handle_data</w:t>
        </w:r>
      </w:hyperlink>
    </w:p>
    <w:p>
      <w:pPr>
        <w:numPr>
          <w:numId w:val="34"/>
        </w:numPr>
        <w:spacing w:before="120" w:after="120" w:line="288" w:lineRule="auto"/>
        <w:ind w:left="907"/>
        <w:jc w:val="left"/>
      </w:pPr>
      <w:r>
        <w:rPr>
          <w:rFonts w:eastAsia="等线" w:ascii="Arial" w:cs="Arial" w:hAnsi="Arial"/>
          <w:sz w:val="22"/>
        </w:rPr>
        <w:t xml:space="preserve">按日回测/模拟, 在9:30:00(精确到秒)运行, </w:t>
      </w:r>
      <w:hyperlink r:id="rId40">
        <w:r>
          <w:rPr>
            <w:rFonts w:eastAsia="等线" w:ascii="Arial" w:cs="Arial" w:hAnsi="Arial"/>
            <w:color w:val="3370ff"/>
            <w:sz w:val="22"/>
          </w:rPr>
          <w:t>data</w:t>
        </w:r>
      </w:hyperlink>
      <w:r>
        <w:rPr>
          <w:rFonts w:eastAsia="等线" w:ascii="Arial" w:cs="Arial" w:hAnsi="Arial"/>
          <w:sz w:val="22"/>
        </w:rPr>
        <w:t>为昨天的天数据</w:t>
      </w:r>
    </w:p>
    <w:p>
      <w:pPr>
        <w:numPr>
          <w:numId w:val="35"/>
        </w:numPr>
        <w:spacing w:before="120" w:after="120" w:line="288" w:lineRule="auto"/>
        <w:ind w:left="907"/>
        <w:jc w:val="left"/>
      </w:pPr>
      <w:r>
        <w:rPr>
          <w:rFonts w:eastAsia="等线" w:ascii="Arial" w:cs="Arial" w:hAnsi="Arial"/>
          <w:sz w:val="22"/>
        </w:rPr>
        <w:t xml:space="preserve">按分钟回测/模拟, 在每分钟的第一秒运行, 每天执行240次, 不包括11:30和15:00这两分钟, </w:t>
      </w:r>
      <w:hyperlink r:id="rId41">
        <w:r>
          <w:rPr>
            <w:rFonts w:eastAsia="等线" w:ascii="Arial" w:cs="Arial" w:hAnsi="Arial"/>
            <w:color w:val="3370ff"/>
            <w:sz w:val="22"/>
          </w:rPr>
          <w:t>data</w:t>
        </w:r>
      </w:hyperlink>
      <w:r>
        <w:rPr>
          <w:rFonts w:eastAsia="等线" w:ascii="Arial" w:cs="Arial" w:hAnsi="Arial"/>
          <w:sz w:val="22"/>
        </w:rPr>
        <w:t xml:space="preserve">是上一分钟的分钟数据. 例如: 当天第一次执行是在9:30:00, </w:t>
      </w:r>
      <w:hyperlink r:id="rId42">
        <w:r>
          <w:rPr>
            <w:rFonts w:eastAsia="等线" w:ascii="Arial" w:cs="Arial" w:hAnsi="Arial"/>
            <w:color w:val="3370ff"/>
            <w:sz w:val="22"/>
          </w:rPr>
          <w:t>data</w:t>
        </w:r>
      </w:hyperlink>
      <w:r>
        <w:rPr>
          <w:rFonts w:eastAsia="等线" w:ascii="Arial" w:cs="Arial" w:hAnsi="Arial"/>
          <w:sz w:val="22"/>
        </w:rPr>
        <w:t xml:space="preserve">是昨天14:59至15:00这一分钟的分钟数据, 当天最后一次执行是在14:59:00, </w:t>
      </w:r>
      <w:hyperlink r:id="rId43">
        <w:r>
          <w:rPr>
            <w:rFonts w:eastAsia="等线" w:ascii="Arial" w:cs="Arial" w:hAnsi="Arial"/>
            <w:color w:val="3370ff"/>
            <w:sz w:val="22"/>
          </w:rPr>
          <w:t>data</w:t>
        </w:r>
      </w:hyperlink>
      <w:r>
        <w:rPr>
          <w:rFonts w:eastAsia="等线" w:ascii="Arial" w:cs="Arial" w:hAnsi="Arial"/>
          <w:sz w:val="22"/>
        </w:rPr>
        <w:t>是14:58至14:59:00这一分钟的分钟数据.</w:t>
      </w:r>
    </w:p>
    <w:p>
      <w:pPr>
        <w:numPr>
          <w:numId w:val="36"/>
        </w:numPr>
        <w:spacing w:before="120" w:after="120" w:line="288" w:lineRule="auto"/>
        <w:ind w:left="0"/>
        <w:jc w:val="left"/>
      </w:pPr>
      <w:r>
        <w:rPr>
          <w:rFonts w:eastAsia="等线" w:ascii="Arial" w:cs="Arial" w:hAnsi="Arial"/>
          <w:sz w:val="22"/>
        </w:rPr>
        <w:t>收盘后(15:00后半小时内)运行:</w:t>
      </w:r>
    </w:p>
    <w:p>
      <w:pPr>
        <w:numPr>
          <w:numId w:val="37"/>
        </w:numPr>
        <w:spacing w:before="120" w:after="120" w:line="288" w:lineRule="auto"/>
        <w:ind w:left="453"/>
        <w:jc w:val="left"/>
      </w:pPr>
      <w:hyperlink r:id="rId44">
        <w:r>
          <w:rPr>
            <w:rFonts w:eastAsia="等线" w:ascii="Arial" w:cs="Arial" w:hAnsi="Arial"/>
            <w:color w:val="3370ff"/>
            <w:sz w:val="22"/>
          </w:rPr>
          <w:t>run_monthly</w:t>
        </w:r>
      </w:hyperlink>
      <w:r>
        <w:rPr>
          <w:rFonts w:eastAsia="等线" w:ascii="Arial" w:cs="Arial" w:hAnsi="Arial"/>
          <w:sz w:val="22"/>
        </w:rPr>
        <w:t>/</w:t>
      </w:r>
      <w:hyperlink r:id="rId45">
        <w:r>
          <w:rPr>
            <w:rFonts w:eastAsia="等线" w:ascii="Arial" w:cs="Arial" w:hAnsi="Arial"/>
            <w:color w:val="3370ff"/>
            <w:sz w:val="22"/>
          </w:rPr>
          <w:t>run_weekly</w:t>
        </w:r>
      </w:hyperlink>
      <w:r>
        <w:rPr>
          <w:rFonts w:eastAsia="等线" w:ascii="Arial" w:cs="Arial" w:hAnsi="Arial"/>
          <w:sz w:val="22"/>
        </w:rPr>
        <w:t>/</w:t>
      </w:r>
      <w:hyperlink r:id="rId46">
        <w:r>
          <w:rPr>
            <w:rFonts w:eastAsia="等线" w:ascii="Arial" w:cs="Arial" w:hAnsi="Arial"/>
            <w:color w:val="3370ff"/>
            <w:sz w:val="22"/>
          </w:rPr>
          <w:t>run_daily</w:t>
        </w:r>
      </w:hyperlink>
      <w:r>
        <w:rPr>
          <w:rFonts w:eastAsia="等线" w:ascii="Arial" w:cs="Arial" w:hAnsi="Arial"/>
          <w:sz w:val="22"/>
        </w:rPr>
        <w:t>中指定time='15:30'运行的函数</w:t>
      </w:r>
    </w:p>
    <w:p>
      <w:pPr>
        <w:numPr>
          <w:numId w:val="38"/>
        </w:numPr>
        <w:spacing w:before="120" w:after="120" w:line="288" w:lineRule="auto"/>
        <w:ind w:left="453"/>
        <w:jc w:val="left"/>
      </w:pPr>
      <w:hyperlink r:id="rId47">
        <w:r>
          <w:rPr>
            <w:rFonts w:eastAsia="等线" w:ascii="Arial" w:cs="Arial" w:hAnsi="Arial"/>
            <w:color w:val="3370ff"/>
            <w:sz w:val="22"/>
          </w:rPr>
          <w:t>after_trading_end</w:t>
        </w:r>
      </w:hyperlink>
    </w:p>
    <w:p>
      <w:pPr>
        <w:numPr>
          <w:numId w:val="39"/>
        </w:numPr>
        <w:spacing w:before="120" w:after="120" w:line="288" w:lineRule="auto"/>
        <w:ind w:left="0"/>
        <w:jc w:val="left"/>
      </w:pPr>
      <w:r>
        <w:rPr>
          <w:rFonts w:eastAsia="等线" w:ascii="Arial" w:cs="Arial" w:hAnsi="Arial"/>
          <w:sz w:val="22"/>
        </w:rPr>
        <w:t xml:space="preserve">同一个时间点, 总是先运行 run_xxx 指定的函数, 然后是 </w:t>
      </w:r>
      <w:hyperlink r:id="rId48">
        <w:r>
          <w:rPr>
            <w:rFonts w:eastAsia="等线" w:ascii="Arial" w:cs="Arial" w:hAnsi="Arial"/>
            <w:color w:val="3370ff"/>
            <w:sz w:val="22"/>
          </w:rPr>
          <w:t>before_trading_start</w:t>
        </w:r>
      </w:hyperlink>
      <w:r>
        <w:rPr>
          <w:rFonts w:eastAsia="等线" w:ascii="Arial" w:cs="Arial" w:hAnsi="Arial"/>
          <w:sz w:val="22"/>
        </w:rPr>
        <w:t xml:space="preserve"> , </w:t>
      </w:r>
      <w:hyperlink r:id="rId49">
        <w:r>
          <w:rPr>
            <w:rFonts w:eastAsia="等线" w:ascii="Arial" w:cs="Arial" w:hAnsi="Arial"/>
            <w:color w:val="3370ff"/>
            <w:sz w:val="22"/>
          </w:rPr>
          <w:t>handle_data</w:t>
        </w:r>
      </w:hyperlink>
      <w:r>
        <w:rPr>
          <w:rFonts w:eastAsia="等线" w:ascii="Arial" w:cs="Arial" w:hAnsi="Arial"/>
          <w:sz w:val="22"/>
        </w:rPr>
        <w:t xml:space="preserve"> 和 </w:t>
      </w:r>
      <w:hyperlink r:id="rId50">
        <w:r>
          <w:rPr>
            <w:rFonts w:eastAsia="等线" w:ascii="Arial" w:cs="Arial" w:hAnsi="Arial"/>
            <w:color w:val="3370ff"/>
            <w:sz w:val="22"/>
          </w:rPr>
          <w:t>after_trading_end</w:t>
        </w:r>
      </w:hyperlink>
    </w:p>
    <w:p>
      <w:pPr>
        <w:numPr>
          <w:numId w:val="40"/>
        </w:numPr>
        <w:spacing w:before="120" w:after="120" w:line="288" w:lineRule="auto"/>
        <w:ind w:left="0"/>
        <w:jc w:val="left"/>
      </w:pPr>
      <w:r>
        <w:rPr>
          <w:rFonts w:eastAsia="等线" w:ascii="Arial" w:cs="Arial" w:hAnsi="Arial"/>
          <w:sz w:val="22"/>
        </w:rPr>
        <w:t>注意:</w:t>
      </w:r>
    </w:p>
    <w:p>
      <w:pPr>
        <w:numPr>
          <w:numId w:val="41"/>
        </w:numPr>
        <w:spacing w:before="120" w:after="120" w:line="288" w:lineRule="auto"/>
        <w:ind w:left="453"/>
        <w:jc w:val="left"/>
      </w:pPr>
      <w:r>
        <w:rPr>
          <w:rFonts w:eastAsia="等线" w:ascii="Arial" w:cs="Arial" w:hAnsi="Arial"/>
          <w:b w:val="true"/>
          <w:sz w:val="22"/>
        </w:rPr>
        <w:t>为了避免您换算错误，建议设置time为具体的时间（例如：time='9:30'）</w:t>
      </w:r>
      <w:r>
        <w:rPr>
          <w:rFonts w:eastAsia="等线" w:ascii="Arial" w:cs="Arial" w:hAnsi="Arial"/>
          <w:sz w:val="22"/>
        </w:rPr>
        <w:t>;</w:t>
      </w:r>
    </w:p>
    <w:p>
      <w:pPr>
        <w:numPr>
          <w:numId w:val="42"/>
        </w:numPr>
        <w:spacing w:before="120" w:after="120" w:line="288" w:lineRule="auto"/>
        <w:ind w:left="453"/>
        <w:jc w:val="left"/>
      </w:pPr>
      <w:r>
        <w:rPr>
          <w:rFonts w:eastAsia="等线" w:ascii="Arial" w:cs="Arial" w:hAnsi="Arial"/>
          <w:sz w:val="22"/>
        </w:rPr>
        <w:t>run_xxx指run_monthly/run_weekly/run_daily中的任意一个</w:t>
      </w:r>
    </w:p>
    <w:p>
      <w:pPr>
        <w:numPr>
          <w:numId w:val="43"/>
        </w:numPr>
        <w:spacing w:before="120" w:after="120" w:line="288" w:lineRule="auto"/>
        <w:ind w:left="453"/>
        <w:jc w:val="left"/>
      </w:pPr>
      <w:r>
        <w:rPr>
          <w:rFonts w:eastAsia="等线" w:ascii="Arial" w:cs="Arial" w:hAnsi="Arial"/>
          <w:sz w:val="22"/>
        </w:rPr>
        <w:t xml:space="preserve">run_xxx 指定的函数只能有一个参数 </w:t>
      </w:r>
      <w:hyperlink r:id="rId51">
        <w:r>
          <w:rPr>
            <w:rFonts w:eastAsia="等线" w:ascii="Arial" w:cs="Arial" w:hAnsi="Arial"/>
            <w:color w:val="3370ff"/>
            <w:sz w:val="22"/>
          </w:rPr>
          <w:t>context</w:t>
        </w:r>
      </w:hyperlink>
      <w:r>
        <w:rPr>
          <w:rFonts w:eastAsia="等线" w:ascii="Arial" w:cs="Arial" w:hAnsi="Arial"/>
          <w:sz w:val="22"/>
        </w:rPr>
        <w:t xml:space="preserve">,  </w:t>
      </w:r>
      <w:hyperlink r:id="rId52">
        <w:r>
          <w:rPr>
            <w:rFonts w:eastAsia="等线" w:ascii="Arial" w:cs="Arial" w:hAnsi="Arial"/>
            <w:color w:val="3370ff"/>
            <w:sz w:val="22"/>
          </w:rPr>
          <w:t>data</w:t>
        </w:r>
      </w:hyperlink>
      <w:r>
        <w:rPr>
          <w:rFonts w:eastAsia="等线" w:ascii="Arial" w:cs="Arial" w:hAnsi="Arial"/>
          <w:sz w:val="22"/>
        </w:rPr>
        <w:t xml:space="preserve"> 不再提供, 请使用 </w:t>
      </w:r>
      <w:hyperlink r:id="rId53">
        <w:r>
          <w:rPr>
            <w:rFonts w:eastAsia="等线" w:ascii="Arial" w:cs="Arial" w:hAnsi="Arial"/>
            <w:color w:val="3370ff"/>
            <w:sz w:val="22"/>
          </w:rPr>
          <w:t>history</w:t>
        </w:r>
      </w:hyperlink>
      <w:r>
        <w:rPr>
          <w:rFonts w:eastAsia="等线" w:ascii="Arial" w:cs="Arial" w:hAnsi="Arial"/>
          <w:sz w:val="22"/>
        </w:rPr>
        <w:t>等获取;</w:t>
      </w:r>
    </w:p>
    <w:p>
      <w:pPr>
        <w:numPr>
          <w:numId w:val="44"/>
        </w:numPr>
        <w:spacing w:before="120" w:after="120" w:line="288" w:lineRule="auto"/>
        <w:ind w:left="453"/>
        <w:jc w:val="left"/>
      </w:pPr>
      <w:r>
        <w:rPr>
          <w:rFonts w:eastAsia="等线" w:ascii="Arial" w:cs="Arial" w:hAnsi="Arial"/>
          <w:sz w:val="22"/>
        </w:rPr>
        <w:t>initialize / before_trading_start / after_trading_end / handle_data 都是可选的, 如果不是必须的, 不要实现这些函数, 一个空函数会降低运行速度;</w:t>
      </w:r>
    </w:p>
    <w:p>
      <w:pPr>
        <w:numPr>
          <w:numId w:val="45"/>
        </w:numPr>
        <w:spacing w:before="120" w:after="120" w:line="288" w:lineRule="auto"/>
        <w:ind w:left="453"/>
        <w:jc w:val="left"/>
      </w:pPr>
      <w:r>
        <w:rPr>
          <w:rFonts w:eastAsia="等线" w:ascii="Arial" w:cs="Arial" w:hAnsi="Arial"/>
          <w:sz w:val="22"/>
        </w:rPr>
        <w:t>run_xxx和handle_data不要在同一个策略中使用，建议使用run_xxxx;</w:t>
      </w:r>
    </w:p>
    <w:p>
      <w:pPr>
        <w:numPr>
          <w:numId w:val="46"/>
        </w:numPr>
        <w:spacing w:before="120" w:after="120" w:line="288" w:lineRule="auto"/>
        <w:ind w:left="453"/>
        <w:jc w:val="left"/>
      </w:pPr>
      <w:r>
        <w:rPr>
          <w:rFonts w:eastAsia="等线" w:ascii="Arial" w:cs="Arial" w:hAnsi="Arial"/>
          <w:sz w:val="22"/>
        </w:rPr>
        <w:t xml:space="preserve">一个策略中可以写多个run_xxx函数，例如需要每分钟运行和定时运行的话，可以这样设置：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func1, func2, func3都是您自己实现的函数</w:t>
              <w:br/>
              <w:t xml:space="preserve"># 每分钟运行     </w:t>
              <w:br/>
              <w:t xml:space="preserve">run_daily(func1, time='every_bar')      </w:t>
              <w:br/>
              <w:t xml:space="preserve"># 11:00定时运行        </w:t>
              <w:br/>
              <w:t xml:space="preserve">run_daily(func2, time='11:00')     </w:t>
              <w:br/>
              <w:t xml:space="preserve"># 14:00定时运行        </w:t>
              <w:br/>
              <w:t xml:space="preserve">run_daily(func3, time='14:00')  </w:t>
              <w:br/>
              <w:t xml:space="preserve"># 14:50定时运行        </w:t>
              <w:br/>
            </w:r>
            <w:r>
              <w:rPr>
                <w:rFonts w:eastAsia="Consolas" w:ascii="Consolas" w:cs="Consolas" w:hAnsi="Consolas"/>
                <w:sz w:val="22"/>
              </w:rPr>
              <w:t xml:space="preserve">run_daily(func2, time='14:50')      </w:t>
            </w:r>
          </w:p>
        </w:tc>
      </w:tr>
    </w:tbl>
    <w:p>
      <w:pPr>
        <w:pStyle w:val="3"/>
        <w:spacing w:before="300" w:after="120" w:line="288" w:lineRule="auto"/>
        <w:ind w:left="0"/>
        <w:jc w:val="left"/>
        <w:outlineLvl w:val="2"/>
      </w:pPr>
      <w:bookmarkStart w:name="heading_9" w:id="9"/>
      <w:r>
        <w:rPr>
          <w:rFonts w:eastAsia="等线" w:ascii="Arial" w:cs="Arial" w:hAnsi="Arial"/>
          <w:b w:val="true"/>
          <w:sz w:val="30"/>
        </w:rPr>
        <w:t>订单处理</w:t>
      </w:r>
      <w:bookmarkEnd w:id="9"/>
    </w:p>
    <w:p>
      <w:pPr>
        <w:spacing w:before="120" w:after="120" w:line="288" w:lineRule="auto"/>
        <w:ind w:left="0"/>
        <w:jc w:val="left"/>
      </w:pPr>
      <w:r>
        <w:rPr>
          <w:rFonts w:eastAsia="等线" w:ascii="Arial" w:cs="Arial" w:hAnsi="Arial"/>
          <w:sz w:val="22"/>
        </w:rPr>
        <w:t xml:space="preserve"> 订单处理总体过程：</w:t>
      </w:r>
    </w:p>
    <w:p>
      <w:pPr>
        <w:numPr>
          <w:numId w:val="47"/>
        </w:numPr>
        <w:spacing w:before="120" w:after="120" w:line="288" w:lineRule="auto"/>
        <w:ind w:left="0"/>
        <w:jc w:val="left"/>
      </w:pPr>
      <w:r>
        <w:rPr>
          <w:rFonts w:eastAsia="等线" w:ascii="Arial" w:cs="Arial" w:hAnsi="Arial"/>
          <w:sz w:val="22"/>
        </w:rPr>
        <w:t>从委托到成交的流程:</w:t>
        <w:br/>
      </w:r>
      <w:r>
        <w:rPr>
          <w:rFonts w:eastAsia="等线" w:ascii="Arial" w:cs="Arial" w:hAnsi="Arial"/>
          <w:sz w:val="22"/>
        </w:rPr>
        <w:t xml:space="preserve">   订单创建-&gt;订单检查-&gt;报单-&gt;确认委托-&gt;撮合，在订单检查时未通过则订单取消；</w:t>
      </w:r>
    </w:p>
    <w:p>
      <w:pPr>
        <w:numPr>
          <w:numId w:val="48"/>
        </w:numPr>
        <w:spacing w:before="120" w:after="120" w:line="288" w:lineRule="auto"/>
        <w:ind w:left="0"/>
        <w:jc w:val="left"/>
      </w:pPr>
      <w:r>
        <w:rPr>
          <w:rFonts w:eastAsia="等线" w:ascii="Arial" w:cs="Arial" w:hAnsi="Arial"/>
          <w:sz w:val="22"/>
        </w:rPr>
        <w:t>回测模式整个过程是同步进行，order_*函数执行成功后会创建一个order对象,市价单的order对象撮合后(交易时间下单立即撮合)会立即获得交易的结果,限价单的order对象每次成交后都会立即更新；</w:t>
      </w:r>
    </w:p>
    <w:p>
      <w:pPr>
        <w:numPr>
          <w:numId w:val="49"/>
        </w:numPr>
        <w:spacing w:before="120" w:after="120" w:line="288" w:lineRule="auto"/>
        <w:ind w:left="0"/>
        <w:jc w:val="left"/>
      </w:pPr>
      <w:r>
        <w:rPr>
          <w:rFonts w:eastAsia="等线" w:ascii="Arial" w:cs="Arial" w:hAnsi="Arial"/>
          <w:sz w:val="22"/>
        </w:rPr>
        <w:t xml:space="preserve">目前官网的模拟盘过程同回测； </w:t>
      </w:r>
    </w:p>
    <w:p>
      <w:pPr>
        <w:numPr>
          <w:numId w:val="50"/>
        </w:numPr>
        <w:spacing w:before="120" w:after="120" w:line="288" w:lineRule="auto"/>
        <w:ind w:left="0"/>
        <w:jc w:val="left"/>
      </w:pPr>
      <w:r>
        <w:rPr>
          <w:rFonts w:eastAsia="等线" w:ascii="Arial" w:cs="Arial" w:hAnsi="Arial"/>
          <w:sz w:val="22"/>
        </w:rPr>
        <w:t>所有未完成订单将在本交易日结束后撤销。</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5" o:title=""/>
          </v:shape>
          <o:OLEObject DrawAspect="Icon" ObjectID="_1718471219" ProgID="Excel.Sheet.12" ShapeID="_x0000_i1025" Type="Embed" r:id="rId54"/>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0" w:id="10"/>
      <w:r>
        <w:rPr>
          <w:rFonts w:eastAsia="等线" w:ascii="Arial" w:cs="Arial" w:hAnsi="Arial"/>
          <w:b w:val="true"/>
          <w:sz w:val="32"/>
        </w:rPr>
        <w:t>撮合流程</w:t>
      </w:r>
      <w:bookmarkEnd w:id="10"/>
    </w:p>
    <w:p>
      <w:pPr>
        <w:numPr>
          <w:numId w:val="51"/>
        </w:numPr>
        <w:spacing w:before="120" w:after="120" w:line="288" w:lineRule="auto"/>
        <w:ind w:left="0"/>
        <w:jc w:val="left"/>
      </w:pPr>
      <w:r>
        <w:rPr>
          <w:rFonts w:eastAsia="等线" w:ascii="Arial" w:cs="Arial" w:hAnsi="Arial"/>
          <w:sz w:val="22"/>
        </w:rPr>
        <w:t>在回测和模拟交易中，所有的委托（无论市价单还是限价单）在下单后都将尝试进行撮合，撮合的逻辑根据是否打开盘口撮合进行选择；</w:t>
      </w:r>
    </w:p>
    <w:p>
      <w:pPr>
        <w:numPr>
          <w:numId w:val="52"/>
        </w:numPr>
        <w:spacing w:before="120" w:after="120" w:line="288" w:lineRule="auto"/>
        <w:ind w:left="0"/>
        <w:jc w:val="left"/>
      </w:pPr>
      <w:r>
        <w:rPr>
          <w:rFonts w:eastAsia="等线" w:ascii="Arial" w:cs="Arial" w:hAnsi="Arial"/>
          <w:sz w:val="22"/>
        </w:rPr>
        <w:t>若委托未能完全成交且为限价单，则挂单，然后根据挂单撮合逻辑进行后续的流程。</w:t>
      </w:r>
    </w:p>
    <w:p>
      <w:pPr>
        <w:pStyle w:val="3"/>
        <w:spacing w:before="300" w:after="120" w:line="288" w:lineRule="auto"/>
        <w:ind w:left="0"/>
        <w:jc w:val="left"/>
        <w:outlineLvl w:val="2"/>
      </w:pPr>
      <w:bookmarkStart w:name="heading_11" w:id="11"/>
      <w:r>
        <w:rPr>
          <w:rFonts w:eastAsia="等线" w:ascii="Arial" w:cs="Arial" w:hAnsi="Arial"/>
          <w:b w:val="true"/>
          <w:sz w:val="30"/>
        </w:rPr>
        <w:t>下单时的撮合逻辑</w:t>
      </w:r>
      <w:bookmarkEnd w:id="11"/>
    </w:p>
    <w:p>
      <w:pPr>
        <w:pStyle w:val="4"/>
        <w:spacing w:before="260" w:after="120" w:line="288" w:lineRule="auto"/>
        <w:ind w:left="0"/>
        <w:jc w:val="left"/>
        <w:outlineLvl w:val="3"/>
      </w:pPr>
      <w:bookmarkStart w:name="heading_12" w:id="12"/>
      <w:r>
        <w:rPr>
          <w:rFonts w:eastAsia="等线" w:ascii="Arial" w:cs="Arial" w:hAnsi="Arial"/>
          <w:b w:val="true"/>
          <w:sz w:val="28"/>
        </w:rPr>
        <w:t>未启用盘口撮合时</w:t>
      </w:r>
      <w:bookmarkEnd w:id="12"/>
    </w:p>
    <w:p>
      <w:pPr>
        <w:numPr>
          <w:numId w:val="53"/>
        </w:numPr>
        <w:spacing w:before="120" w:after="120" w:line="288" w:lineRule="auto"/>
        <w:ind w:left="0"/>
        <w:jc w:val="left"/>
      </w:pPr>
      <w:r>
        <w:rPr>
          <w:rFonts w:eastAsia="等线" w:ascii="Arial" w:cs="Arial" w:hAnsi="Arial"/>
          <w:sz w:val="22"/>
        </w:rPr>
        <w:t>当 “最新价+滑点” 在涨跌停范围内将尝试进行撮合，若满足以下条件则成交，成交价为最新价+滑点：</w:t>
      </w:r>
    </w:p>
    <w:p>
      <w:pPr>
        <w:numPr>
          <w:numId w:val="54"/>
        </w:numPr>
        <w:spacing w:before="120" w:after="120" w:line="288" w:lineRule="auto"/>
        <w:ind w:left="453"/>
        <w:jc w:val="left"/>
      </w:pPr>
      <w:r>
        <w:rPr>
          <w:rFonts w:eastAsia="等线" w:ascii="Arial" w:cs="Arial" w:hAnsi="Arial"/>
          <w:sz w:val="22"/>
        </w:rPr>
        <w:t>买入/开多/平空时，委托价 &gt;= 最新价+滑点；</w:t>
      </w:r>
    </w:p>
    <w:p>
      <w:pPr>
        <w:numPr>
          <w:numId w:val="55"/>
        </w:numPr>
        <w:spacing w:before="120" w:after="120" w:line="288" w:lineRule="auto"/>
        <w:ind w:left="453"/>
        <w:jc w:val="left"/>
      </w:pPr>
      <w:r>
        <w:rPr>
          <w:rFonts w:eastAsia="等线" w:ascii="Arial" w:cs="Arial" w:hAnsi="Arial"/>
          <w:sz w:val="22"/>
        </w:rPr>
        <w:t>卖出/开空/平多时，委托价 &lt;= 最新价-滑点；</w:t>
      </w:r>
    </w:p>
    <w:p>
      <w:pPr>
        <w:numPr>
          <w:numId w:val="56"/>
        </w:numPr>
        <w:spacing w:before="120" w:after="120" w:line="288" w:lineRule="auto"/>
        <w:ind w:left="0"/>
        <w:jc w:val="left"/>
      </w:pPr>
      <w:r>
        <w:rPr>
          <w:rFonts w:eastAsia="等线" w:ascii="Arial" w:cs="Arial" w:hAnsi="Arial"/>
          <w:sz w:val="22"/>
        </w:rPr>
        <w:t>若标的“最新价+滑点”不低于涨停或者不高于跌停时：</w:t>
      </w:r>
    </w:p>
    <w:p>
      <w:pPr>
        <w:numPr>
          <w:numId w:val="57"/>
        </w:numPr>
        <w:spacing w:before="120" w:after="120" w:line="288" w:lineRule="auto"/>
        <w:ind w:left="453"/>
        <w:jc w:val="left"/>
      </w:pPr>
      <w:r>
        <w:rPr>
          <w:rFonts w:eastAsia="等线" w:ascii="Arial" w:cs="Arial" w:hAnsi="Arial"/>
          <w:sz w:val="22"/>
        </w:rPr>
        <w:t>跌停时市价卖单会被撤销，涨停时市价买单会被撤销；</w:t>
      </w:r>
    </w:p>
    <w:p>
      <w:pPr>
        <w:numPr>
          <w:numId w:val="58"/>
        </w:numPr>
        <w:spacing w:before="120" w:after="120" w:line="288" w:lineRule="auto"/>
        <w:ind w:left="453"/>
        <w:jc w:val="left"/>
      </w:pPr>
      <w:r>
        <w:rPr>
          <w:rFonts w:eastAsia="等线" w:ascii="Arial" w:cs="Arial" w:hAnsi="Arial"/>
          <w:sz w:val="22"/>
        </w:rPr>
        <w:t>限价单会挂单等待撮合。</w:t>
      </w:r>
    </w:p>
    <w:p>
      <w:pPr>
        <w:numPr>
          <w:numId w:val="59"/>
        </w:numPr>
        <w:spacing w:before="120" w:after="120" w:line="288" w:lineRule="auto"/>
        <w:ind w:left="0"/>
        <w:jc w:val="left"/>
      </w:pPr>
      <w:r>
        <w:rPr>
          <w:rFonts w:eastAsia="等线" w:ascii="Arial" w:cs="Arial" w:hAnsi="Arial"/>
          <w:sz w:val="22"/>
        </w:rPr>
        <w:t>交易价格: 最新价 + 滑点，如果在开盘时刻运行， 最新价格为开盘价。 其他情况下， 为上一分钟的最后一个价格或上一个tick的最新价。</w:t>
      </w:r>
    </w:p>
    <w:p>
      <w:pPr>
        <w:numPr>
          <w:numId w:val="60"/>
        </w:numPr>
        <w:spacing w:before="120" w:after="120" w:line="288" w:lineRule="auto"/>
        <w:ind w:left="0"/>
        <w:jc w:val="left"/>
      </w:pPr>
      <w:r>
        <w:rPr>
          <w:rFonts w:eastAsia="等线" w:ascii="Arial" w:cs="Arial" w:hAnsi="Arial"/>
          <w:sz w:val="22"/>
        </w:rPr>
        <w:t>满足撮合条件时成交量的限制：</w:t>
      </w:r>
    </w:p>
    <w:p>
      <w:pPr>
        <w:numPr>
          <w:numId w:val="61"/>
        </w:numPr>
        <w:spacing w:before="120" w:after="120" w:line="288" w:lineRule="auto"/>
        <w:ind w:left="453"/>
        <w:jc w:val="left"/>
      </w:pPr>
      <w:r>
        <w:rPr>
          <w:rFonts w:eastAsia="等线" w:ascii="Arial" w:cs="Arial" w:hAnsi="Arial"/>
          <w:sz w:val="22"/>
        </w:rPr>
        <w:t>回测：不超过当日总成交量 * order_volume_ratio；</w:t>
      </w:r>
    </w:p>
    <w:p>
      <w:pPr>
        <w:numPr>
          <w:numId w:val="62"/>
        </w:numPr>
        <w:spacing w:before="120" w:after="120" w:line="288" w:lineRule="auto"/>
        <w:ind w:left="453"/>
        <w:jc w:val="left"/>
      </w:pPr>
      <w:r>
        <w:rPr>
          <w:rFonts w:eastAsia="等线" w:ascii="Arial" w:cs="Arial" w:hAnsi="Arial"/>
          <w:sz w:val="22"/>
        </w:rPr>
        <w:t>模拟交易：全部成交；</w:t>
      </w:r>
    </w:p>
    <w:p>
      <w:pPr>
        <w:numPr>
          <w:numId w:val="63"/>
        </w:numPr>
        <w:spacing w:before="120" w:after="120" w:line="288" w:lineRule="auto"/>
        <w:ind w:left="0"/>
        <w:jc w:val="left"/>
      </w:pPr>
      <w:r>
        <w:rPr>
          <w:rFonts w:eastAsia="等线" w:ascii="Arial" w:cs="Arial" w:hAnsi="Arial"/>
          <w:sz w:val="22"/>
        </w:rPr>
        <w:t>超出最大成交量的部分：</w:t>
      </w:r>
    </w:p>
    <w:p>
      <w:pPr>
        <w:numPr>
          <w:numId w:val="64"/>
        </w:numPr>
        <w:spacing w:before="120" w:after="120" w:line="288" w:lineRule="auto"/>
        <w:ind w:left="453"/>
        <w:jc w:val="left"/>
      </w:pPr>
      <w:r>
        <w:rPr>
          <w:rFonts w:eastAsia="等线" w:ascii="Arial" w:cs="Arial" w:hAnsi="Arial"/>
          <w:sz w:val="22"/>
        </w:rPr>
        <w:t>对于市价单，剩余部分将撤单；</w:t>
      </w:r>
    </w:p>
    <w:p>
      <w:pPr>
        <w:numPr>
          <w:numId w:val="65"/>
        </w:numPr>
        <w:spacing w:before="120" w:after="120" w:line="288" w:lineRule="auto"/>
        <w:ind w:left="453"/>
        <w:jc w:val="left"/>
      </w:pPr>
      <w:r>
        <w:rPr>
          <w:rFonts w:eastAsia="等线" w:ascii="Arial" w:cs="Arial" w:hAnsi="Arial"/>
          <w:sz w:val="22"/>
        </w:rPr>
        <w:t>对于限价单，将按委托价挂单，根据策略频率使用不同的后续逻辑。</w:t>
      </w:r>
    </w:p>
    <w:p>
      <w:pPr>
        <w:pStyle w:val="5"/>
        <w:spacing w:before="240" w:after="120" w:line="288" w:lineRule="auto"/>
        <w:ind w:left="0"/>
        <w:jc w:val="left"/>
        <w:outlineLvl w:val="4"/>
      </w:pPr>
      <w:bookmarkStart w:name="heading_13" w:id="13"/>
      <w:r>
        <w:rPr>
          <w:rFonts w:eastAsia="等线" w:ascii="Arial" w:cs="Arial" w:hAnsi="Arial"/>
          <w:b w:val="true"/>
          <w:sz w:val="24"/>
        </w:rPr>
        <w:t>注意:</w:t>
      </w:r>
      <w:bookmarkEnd w:id="13"/>
    </w:p>
    <w:p>
      <w:pPr>
        <w:numPr>
          <w:numId w:val="66"/>
        </w:numPr>
        <w:spacing w:before="120" w:after="120" w:line="288" w:lineRule="auto"/>
        <w:ind w:left="0"/>
        <w:jc w:val="left"/>
      </w:pPr>
      <w:r>
        <w:rPr>
          <w:rFonts w:eastAsia="等线" w:ascii="Arial" w:cs="Arial" w:hAnsi="Arial"/>
          <w:sz w:val="22"/>
        </w:rPr>
        <w:t>回测中可通过选项 order_volume_ratio 设置每日最大的成交量, 例如: 0.25 表示下单成交量不会超过本日成交量的 25%；</w:t>
      </w:r>
    </w:p>
    <w:p>
      <w:pPr>
        <w:numPr>
          <w:numId w:val="67"/>
        </w:numPr>
        <w:spacing w:before="120" w:after="120" w:line="288" w:lineRule="auto"/>
        <w:ind w:left="453"/>
        <w:jc w:val="left"/>
      </w:pPr>
      <w:r>
        <w:rPr>
          <w:rFonts w:eastAsia="等线" w:ascii="Arial" w:cs="Arial" w:hAnsi="Arial"/>
          <w:sz w:val="22"/>
        </w:rPr>
        <w:t>通过选项 order_volume_ratio 设置每日最大的成交量仅限制了每个订单的成交量, 虽然你可以通过多次下单来超过该限制, 但是为了对你的回测负责请不要这么做；</w:t>
      </w:r>
    </w:p>
    <w:p>
      <w:pPr>
        <w:numPr>
          <w:numId w:val="68"/>
        </w:numPr>
        <w:spacing w:before="120" w:after="120" w:line="288" w:lineRule="auto"/>
        <w:ind w:left="0"/>
        <w:jc w:val="left"/>
      </w:pPr>
      <w:r>
        <w:rPr>
          <w:rFonts w:eastAsia="等线" w:ascii="Arial" w:cs="Arial" w:hAnsi="Arial"/>
          <w:sz w:val="22"/>
        </w:rPr>
        <w:t>context.portfolio 中的持仓价格会使用上一分钟的最后一个价格更新。</w:t>
      </w:r>
    </w:p>
    <w:p>
      <w:pPr>
        <w:pStyle w:val="4"/>
        <w:spacing w:before="260" w:after="120" w:line="288" w:lineRule="auto"/>
        <w:ind w:left="0"/>
        <w:jc w:val="left"/>
        <w:outlineLvl w:val="3"/>
      </w:pPr>
      <w:bookmarkStart w:name="heading_14" w:id="14"/>
      <w:r>
        <w:rPr>
          <w:rFonts w:eastAsia="等线" w:ascii="Arial" w:cs="Arial" w:hAnsi="Arial"/>
          <w:b w:val="true"/>
          <w:sz w:val="28"/>
        </w:rPr>
        <w:t>启用盘口撮合时</w:t>
      </w:r>
      <w:bookmarkEnd w:id="14"/>
    </w:p>
    <w:p>
      <w:pPr>
        <w:spacing w:before="120" w:after="120" w:line="288" w:lineRule="auto"/>
        <w:ind w:left="0"/>
        <w:jc w:val="left"/>
      </w:pPr>
      <w:r>
        <w:rPr>
          <w:rFonts w:eastAsia="等线" w:ascii="Arial" w:cs="Arial" w:hAnsi="Arial"/>
          <w:sz w:val="22"/>
        </w:rPr>
        <w:t>仅在模拟交易中可启用盘口撮合。</w:t>
      </w:r>
    </w:p>
    <w:p>
      <w:pPr>
        <w:numPr>
          <w:numId w:val="69"/>
        </w:numPr>
        <w:spacing w:before="120" w:after="120" w:line="288" w:lineRule="auto"/>
        <w:ind w:left="0"/>
        <w:jc w:val="left"/>
      </w:pPr>
      <w:r>
        <w:rPr>
          <w:rFonts w:eastAsia="等线" w:ascii="Arial" w:cs="Arial" w:hAnsi="Arial"/>
          <w:sz w:val="22"/>
        </w:rPr>
        <w:t>根据对手盘盘口进行撮合；</w:t>
      </w:r>
    </w:p>
    <w:p>
      <w:pPr>
        <w:numPr>
          <w:numId w:val="70"/>
        </w:numPr>
        <w:spacing w:before="120" w:after="120" w:line="288" w:lineRule="auto"/>
        <w:ind w:left="0"/>
        <w:jc w:val="left"/>
      </w:pPr>
      <w:r>
        <w:rPr>
          <w:rFonts w:eastAsia="等线" w:ascii="Arial" w:cs="Arial" w:hAnsi="Arial"/>
          <w:sz w:val="22"/>
        </w:rPr>
        <w:t>优先从一档（买一/卖一）开始撮合，根据成交量算出加权均价；</w:t>
      </w:r>
    </w:p>
    <w:p>
      <w:pPr>
        <w:numPr>
          <w:numId w:val="71"/>
        </w:numPr>
        <w:spacing w:before="120" w:after="120" w:line="288" w:lineRule="auto"/>
        <w:ind w:left="0"/>
        <w:jc w:val="left"/>
      </w:pPr>
      <w:r>
        <w:rPr>
          <w:rFonts w:eastAsia="等线" w:ascii="Arial" w:cs="Arial" w:hAnsi="Arial"/>
          <w:sz w:val="22"/>
        </w:rPr>
        <w:t>盘口撮合不限制成交量；</w:t>
      </w:r>
    </w:p>
    <w:p>
      <w:pPr>
        <w:numPr>
          <w:numId w:val="72"/>
        </w:numPr>
        <w:spacing w:before="120" w:after="120" w:line="288" w:lineRule="auto"/>
        <w:ind w:left="0"/>
        <w:jc w:val="left"/>
      </w:pPr>
      <w:r>
        <w:rPr>
          <w:rFonts w:eastAsia="等线" w:ascii="Arial" w:cs="Arial" w:hAnsi="Arial"/>
          <w:sz w:val="22"/>
        </w:rPr>
        <w:t>若无盘口数据，</w:t>
      </w:r>
      <w:r>
        <w:rPr>
          <w:rFonts w:eastAsia="等线" w:ascii="Arial" w:cs="Arial" w:hAnsi="Arial"/>
          <w:b w:val="true"/>
          <w:sz w:val="22"/>
        </w:rPr>
        <w:t>使用未启用盘口撮合时的逻辑尝试进行撮合</w:t>
      </w:r>
      <w:r>
        <w:rPr>
          <w:rFonts w:eastAsia="等线" w:ascii="Arial" w:cs="Arial" w:hAnsi="Arial"/>
          <w:sz w:val="22"/>
        </w:rPr>
        <w:t>；</w:t>
      </w:r>
    </w:p>
    <w:p>
      <w:pPr>
        <w:numPr>
          <w:numId w:val="73"/>
        </w:numPr>
        <w:spacing w:before="120" w:after="120" w:line="288" w:lineRule="auto"/>
        <w:ind w:left="0"/>
        <w:jc w:val="left"/>
      </w:pPr>
      <w:r>
        <w:rPr>
          <w:rFonts w:eastAsia="等线" w:ascii="Arial" w:cs="Arial" w:hAnsi="Arial"/>
          <w:sz w:val="22"/>
        </w:rPr>
        <w:t>当盘口无法完全成交时：</w:t>
      </w:r>
    </w:p>
    <w:p>
      <w:pPr>
        <w:numPr>
          <w:numId w:val="74"/>
        </w:numPr>
        <w:spacing w:before="120" w:after="120" w:line="288" w:lineRule="auto"/>
        <w:ind w:left="453"/>
        <w:jc w:val="left"/>
      </w:pPr>
      <w:r>
        <w:rPr>
          <w:rFonts w:eastAsia="等线" w:ascii="Arial" w:cs="Arial" w:hAnsi="Arial"/>
          <w:sz w:val="22"/>
        </w:rPr>
        <w:t>对于市价单，剩余部分将全部按最高一档盘口撮合；</w:t>
      </w:r>
    </w:p>
    <w:p>
      <w:pPr>
        <w:numPr>
          <w:numId w:val="75"/>
        </w:numPr>
        <w:spacing w:before="120" w:after="120" w:line="288" w:lineRule="auto"/>
        <w:ind w:left="453"/>
        <w:jc w:val="left"/>
      </w:pPr>
      <w:r>
        <w:rPr>
          <w:rFonts w:eastAsia="等线" w:ascii="Arial" w:cs="Arial" w:hAnsi="Arial"/>
          <w:sz w:val="22"/>
        </w:rPr>
        <w:t>对于限价单，将按委托价挂单，根据策略频率使用不同的后续逻辑；</w:t>
      </w:r>
    </w:p>
    <w:p>
      <w:pPr>
        <w:numPr>
          <w:numId w:val="76"/>
        </w:numPr>
        <w:spacing w:before="120" w:after="120" w:line="288" w:lineRule="auto"/>
        <w:ind w:left="0"/>
        <w:jc w:val="left"/>
      </w:pPr>
      <w:r>
        <w:rPr>
          <w:rFonts w:eastAsia="等线" w:ascii="Arial" w:cs="Arial" w:hAnsi="Arial"/>
          <w:sz w:val="22"/>
        </w:rPr>
        <w:t>对涨跌停情况的处理：</w:t>
      </w:r>
    </w:p>
    <w:p>
      <w:pPr>
        <w:numPr>
          <w:numId w:val="77"/>
        </w:numPr>
        <w:spacing w:before="120" w:after="120" w:line="288" w:lineRule="auto"/>
        <w:ind w:left="453"/>
        <w:jc w:val="left"/>
      </w:pPr>
      <w:r>
        <w:rPr>
          <w:rFonts w:eastAsia="等线" w:ascii="Arial" w:cs="Arial" w:hAnsi="Arial"/>
          <w:sz w:val="22"/>
        </w:rPr>
        <w:t>若涨跌停时存在对手盘，则按盘口正常撮合；</w:t>
      </w:r>
    </w:p>
    <w:p>
      <w:pPr>
        <w:numPr>
          <w:numId w:val="78"/>
        </w:numPr>
        <w:spacing w:before="120" w:after="120" w:line="288" w:lineRule="auto"/>
        <w:ind w:left="453"/>
        <w:jc w:val="left"/>
      </w:pPr>
      <w:r>
        <w:rPr>
          <w:rFonts w:eastAsia="等线" w:ascii="Arial" w:cs="Arial" w:hAnsi="Arial"/>
          <w:sz w:val="22"/>
        </w:rPr>
        <w:t>若没有对手盘，此时转入未启用盘口时的撮合逻辑：跌停时市价卖单会被撤销，涨停时市价买单会被撤销；限价单会挂单等待撮合。</w:t>
      </w:r>
    </w:p>
    <w:p>
      <w:pPr>
        <w:pStyle w:val="3"/>
        <w:spacing w:before="300" w:after="120" w:line="288" w:lineRule="auto"/>
        <w:ind w:left="0"/>
        <w:jc w:val="left"/>
        <w:outlineLvl w:val="2"/>
      </w:pPr>
      <w:bookmarkStart w:name="heading_15" w:id="15"/>
      <w:r>
        <w:rPr>
          <w:rFonts w:eastAsia="等线" w:ascii="Arial" w:cs="Arial" w:hAnsi="Arial"/>
          <w:b w:val="true"/>
          <w:sz w:val="30"/>
        </w:rPr>
        <w:t>挂单时的撮合逻辑</w:t>
      </w:r>
      <w:bookmarkEnd w:id="15"/>
    </w:p>
    <w:p>
      <w:pPr>
        <w:spacing w:before="120" w:after="120" w:line="288" w:lineRule="auto"/>
        <w:ind w:left="0"/>
        <w:jc w:val="left"/>
      </w:pPr>
      <w:r>
        <w:rPr>
          <w:rFonts w:eastAsia="等线" w:ascii="Arial" w:cs="Arial" w:hAnsi="Arial"/>
          <w:sz w:val="22"/>
        </w:rPr>
        <w:t>针对不同频率（天/分钟，tick）的策略，挂单的限价单将有以下撮合逻辑</w:t>
      </w:r>
    </w:p>
    <w:p>
      <w:pPr>
        <w:pStyle w:val="4"/>
        <w:spacing w:before="260" w:after="120" w:line="288" w:lineRule="auto"/>
        <w:ind w:left="0"/>
        <w:jc w:val="left"/>
        <w:outlineLvl w:val="3"/>
      </w:pPr>
      <w:bookmarkStart w:name="heading_16" w:id="16"/>
      <w:r>
        <w:rPr>
          <w:rFonts w:eastAsia="等线" w:ascii="Arial" w:cs="Arial" w:hAnsi="Arial"/>
          <w:b w:val="true"/>
          <w:sz w:val="28"/>
        </w:rPr>
        <w:t>按分钟Bar撮合</w:t>
      </w:r>
      <w:bookmarkEnd w:id="16"/>
    </w:p>
    <w:p>
      <w:pPr>
        <w:numPr>
          <w:numId w:val="79"/>
        </w:numPr>
        <w:spacing w:before="120" w:after="120" w:line="288" w:lineRule="auto"/>
        <w:ind w:left="0"/>
        <w:jc w:val="left"/>
      </w:pPr>
      <w:r>
        <w:rPr>
          <w:rFonts w:eastAsia="等线" w:ascii="Arial" w:cs="Arial" w:hAnsi="Arial"/>
          <w:sz w:val="22"/>
        </w:rPr>
        <w:t>天/分钟频率的策略，挂单的限价单每分钟都将尝试在本分钟Bar结束时按照Bar信息尝试进行撮合，若满足以下条件则成交，成交价为委托价：</w:t>
      </w:r>
    </w:p>
    <w:p>
      <w:pPr>
        <w:numPr>
          <w:numId w:val="80"/>
        </w:numPr>
        <w:spacing w:before="120" w:after="120" w:line="288" w:lineRule="auto"/>
        <w:ind w:left="453"/>
        <w:jc w:val="left"/>
      </w:pPr>
      <w:r>
        <w:rPr>
          <w:rFonts w:eastAsia="等线" w:ascii="Arial" w:cs="Arial" w:hAnsi="Arial"/>
          <w:sz w:val="22"/>
        </w:rPr>
        <w:t>买入/开多/平空时，委托价 &gt; Bar的最低价；</w:t>
      </w:r>
    </w:p>
    <w:p>
      <w:pPr>
        <w:numPr>
          <w:numId w:val="81"/>
        </w:numPr>
        <w:spacing w:before="120" w:after="120" w:line="288" w:lineRule="auto"/>
        <w:ind w:left="453"/>
        <w:jc w:val="left"/>
      </w:pPr>
      <w:r>
        <w:rPr>
          <w:rFonts w:eastAsia="等线" w:ascii="Arial" w:cs="Arial" w:hAnsi="Arial"/>
          <w:sz w:val="22"/>
        </w:rPr>
        <w:t>卖出/开空/平多时，委托价 &lt; Bar的最高价；</w:t>
      </w:r>
    </w:p>
    <w:p>
      <w:pPr>
        <w:numPr>
          <w:numId w:val="82"/>
        </w:numPr>
        <w:spacing w:before="120" w:after="120" w:line="288" w:lineRule="auto"/>
        <w:ind w:left="0"/>
        <w:jc w:val="left"/>
      </w:pPr>
      <w:r>
        <w:rPr>
          <w:rFonts w:eastAsia="等线" w:ascii="Arial" w:cs="Arial" w:hAnsi="Arial"/>
          <w:sz w:val="22"/>
        </w:rPr>
        <w:t>成交量限制：</w:t>
      </w:r>
    </w:p>
    <w:p>
      <w:pPr>
        <w:numPr>
          <w:numId w:val="83"/>
        </w:numPr>
        <w:spacing w:before="120" w:after="120" w:line="288" w:lineRule="auto"/>
        <w:ind w:left="453"/>
        <w:jc w:val="left"/>
      </w:pPr>
      <w:r>
        <w:rPr>
          <w:rFonts w:eastAsia="等线" w:ascii="Arial" w:cs="Arial" w:hAnsi="Arial"/>
          <w:sz w:val="22"/>
        </w:rPr>
        <w:t>模拟交易中不超过本分钟Bar成交量；</w:t>
      </w:r>
    </w:p>
    <w:p>
      <w:pPr>
        <w:numPr>
          <w:numId w:val="84"/>
        </w:numPr>
        <w:spacing w:before="120" w:after="120" w:line="288" w:lineRule="auto"/>
        <w:ind w:left="453"/>
        <w:jc w:val="left"/>
      </w:pPr>
      <w:r>
        <w:rPr>
          <w:rFonts w:eastAsia="等线" w:ascii="Arial" w:cs="Arial" w:hAnsi="Arial"/>
          <w:sz w:val="22"/>
        </w:rPr>
        <w:t>回测中不超过本分钟Bar成交量 * order_volume_ratio；</w:t>
      </w:r>
    </w:p>
    <w:p>
      <w:pPr>
        <w:numPr>
          <w:numId w:val="85"/>
        </w:numPr>
        <w:spacing w:before="120" w:after="120" w:line="288" w:lineRule="auto"/>
        <w:ind w:left="0"/>
        <w:jc w:val="left"/>
      </w:pPr>
      <w:r>
        <w:rPr>
          <w:rFonts w:eastAsia="等线" w:ascii="Arial" w:cs="Arial" w:hAnsi="Arial"/>
          <w:sz w:val="22"/>
        </w:rPr>
        <w:t>若订单未完全成交，剩余部分将在每个分钟bar结束时继续尝试撮合直到全部成交或收盘；</w:t>
      </w:r>
    </w:p>
    <w:p>
      <w:pPr>
        <w:pStyle w:val="4"/>
        <w:spacing w:before="260" w:after="120" w:line="288" w:lineRule="auto"/>
        <w:ind w:left="0"/>
        <w:jc w:val="left"/>
        <w:outlineLvl w:val="3"/>
      </w:pPr>
      <w:bookmarkStart w:name="heading_17" w:id="17"/>
      <w:r>
        <w:rPr>
          <w:rFonts w:eastAsia="等线" w:ascii="Arial" w:cs="Arial" w:hAnsi="Arial"/>
          <w:b w:val="true"/>
          <w:sz w:val="28"/>
        </w:rPr>
        <w:t>按tick撮合</w:t>
      </w:r>
      <w:bookmarkEnd w:id="17"/>
    </w:p>
    <w:p>
      <w:pPr>
        <w:numPr>
          <w:numId w:val="86"/>
        </w:numPr>
        <w:spacing w:before="120" w:after="120" w:line="288" w:lineRule="auto"/>
        <w:ind w:left="0"/>
        <w:jc w:val="left"/>
      </w:pPr>
      <w:r>
        <w:rPr>
          <w:rFonts w:eastAsia="等线" w:ascii="Arial" w:cs="Arial" w:hAnsi="Arial"/>
          <w:sz w:val="22"/>
        </w:rPr>
        <w:t>挂单的限价单每个tick都将尝试在tick结束时按照tick信息尝试进行撮合，若满足以下条件则成交，成交价为委托价：</w:t>
      </w:r>
    </w:p>
    <w:p>
      <w:pPr>
        <w:numPr>
          <w:numId w:val="87"/>
        </w:numPr>
        <w:spacing w:before="120" w:after="120" w:line="288" w:lineRule="auto"/>
        <w:ind w:left="453"/>
        <w:jc w:val="left"/>
      </w:pPr>
      <w:r>
        <w:rPr>
          <w:rFonts w:eastAsia="等线" w:ascii="Arial" w:cs="Arial" w:hAnsi="Arial"/>
          <w:sz w:val="22"/>
        </w:rPr>
        <w:t>买入/开多/平空时，若委托价 &gt; tick的最新价，则进行撮合；</w:t>
      </w:r>
    </w:p>
    <w:p>
      <w:pPr>
        <w:numPr>
          <w:numId w:val="88"/>
        </w:numPr>
        <w:spacing w:before="120" w:after="120" w:line="288" w:lineRule="auto"/>
        <w:ind w:left="453"/>
        <w:jc w:val="left"/>
      </w:pPr>
      <w:r>
        <w:rPr>
          <w:rFonts w:eastAsia="等线" w:ascii="Arial" w:cs="Arial" w:hAnsi="Arial"/>
          <w:sz w:val="22"/>
        </w:rPr>
        <w:t>卖出/开空/平多时，若委托价 &lt; tick的最新价，则进行撮合；</w:t>
      </w:r>
    </w:p>
    <w:p>
      <w:pPr>
        <w:numPr>
          <w:numId w:val="89"/>
        </w:numPr>
        <w:spacing w:before="120" w:after="120" w:line="288" w:lineRule="auto"/>
        <w:ind w:left="0"/>
        <w:jc w:val="left"/>
      </w:pPr>
      <w:r>
        <w:rPr>
          <w:rFonts w:eastAsia="等线" w:ascii="Arial" w:cs="Arial" w:hAnsi="Arial"/>
          <w:sz w:val="22"/>
        </w:rPr>
        <w:t>成交量限制：</w:t>
      </w:r>
      <w:r>
        <w:rPr>
          <w:rFonts w:eastAsia="等线" w:ascii="Arial" w:cs="Arial" w:hAnsi="Arial"/>
          <w:b w:val="true"/>
          <w:sz w:val="22"/>
        </w:rPr>
        <w:t>按tick撮合时不检查成交量</w:t>
      </w:r>
      <w:r>
        <w:rPr>
          <w:rFonts w:eastAsia="等线" w:ascii="Arial" w:cs="Arial" w:hAnsi="Arial"/>
          <w:sz w:val="22"/>
        </w:rPr>
        <w:t>，当出现满足撮合条件的价格后，剩余部分全部以委托价成交。</w:t>
      </w:r>
    </w:p>
    <w:p>
      <w:pPr>
        <w:pStyle w:val="2"/>
        <w:spacing w:before="320" w:after="120" w:line="288" w:lineRule="auto"/>
        <w:ind w:left="0"/>
        <w:jc w:val="left"/>
        <w:outlineLvl w:val="1"/>
      </w:pPr>
      <w:bookmarkStart w:name="heading_18" w:id="18"/>
      <w:r>
        <w:rPr>
          <w:rFonts w:eastAsia="等线" w:ascii="Arial" w:cs="Arial" w:hAnsi="Arial"/>
          <w:b w:val="true"/>
          <w:sz w:val="32"/>
        </w:rPr>
        <w:t>非交易时段下单的特别说明</w:t>
      </w:r>
      <w:bookmarkEnd w:id="18"/>
    </w:p>
    <w:p>
      <w:pPr>
        <w:numPr>
          <w:numId w:val="90"/>
        </w:numPr>
        <w:spacing w:before="120" w:after="120" w:line="288" w:lineRule="auto"/>
        <w:ind w:left="0"/>
        <w:jc w:val="left"/>
      </w:pPr>
      <w:r>
        <w:rPr>
          <w:rFonts w:eastAsia="等线" w:ascii="Arial" w:cs="Arial" w:hAnsi="Arial"/>
          <w:sz w:val="22"/>
        </w:rPr>
        <w:t>如果非交易时间下单且不撮合，不管是市价单还是限价单，都会挂单</w:t>
      </w:r>
    </w:p>
    <w:p>
      <w:pPr>
        <w:numPr>
          <w:numId w:val="91"/>
        </w:numPr>
        <w:spacing w:before="120" w:after="120" w:line="288" w:lineRule="auto"/>
        <w:ind w:left="0"/>
        <w:jc w:val="left"/>
      </w:pPr>
      <w:r>
        <w:rPr>
          <w:rFonts w:eastAsia="等线" w:ascii="Arial" w:cs="Arial" w:hAnsi="Arial"/>
          <w:sz w:val="22"/>
        </w:rPr>
        <w:t>对于日频级策略，会在开盘时尝试进行撮合；对于分钟或者tick频率的策略，会在下一个分钟bar或者tick完成时尝试撮合</w:t>
      </w:r>
    </w:p>
    <w:p>
      <w:pPr>
        <w:numPr>
          <w:numId w:val="92"/>
        </w:numPr>
        <w:spacing w:before="120" w:after="120" w:line="288" w:lineRule="auto"/>
        <w:ind w:left="0"/>
        <w:jc w:val="left"/>
      </w:pPr>
      <w:r>
        <w:rPr>
          <w:rFonts w:eastAsia="等线" w:ascii="Arial" w:cs="Arial" w:hAnsi="Arial"/>
          <w:sz w:val="22"/>
        </w:rPr>
        <w:t>市价单挂单后开始交易时会按照下单时的逻辑撮合，限价单按照bar/tick来撮合</w:t>
      </w:r>
    </w:p>
    <w:p>
      <w:pPr>
        <w:numPr>
          <w:numId w:val="93"/>
        </w:numPr>
        <w:spacing w:before="120" w:after="120" w:line="288" w:lineRule="auto"/>
        <w:ind w:left="0"/>
        <w:jc w:val="left"/>
      </w:pPr>
      <w:r>
        <w:rPr>
          <w:rFonts w:eastAsia="等线" w:ascii="Arial" w:cs="Arial" w:hAnsi="Arial"/>
          <w:sz w:val="22"/>
        </w:rPr>
        <w:t>如果用户在 11:30:01 下单，那么订单挂单，引擎退出；下午开盘前引擎恢复运行时，账户初始化会定位未完成订单的对应频率的数据，如果是tick，</w:t>
      </w:r>
      <w:r>
        <w:rPr>
          <w:rFonts w:eastAsia="等线" w:ascii="Arial" w:cs="Arial" w:hAnsi="Arial"/>
          <w:b w:val="true"/>
          <w:sz w:val="22"/>
        </w:rPr>
        <w:t>可能会影响用户的tick订阅数量</w:t>
      </w:r>
    </w:p>
    <w:p>
      <w:pPr>
        <w:spacing w:before="120" w:after="120" w:line="288" w:lineRule="auto"/>
        <w:ind w:left="0"/>
        <w:jc w:val="center"/>
      </w:pPr>
      <w:r>
        <w:drawing>
          <wp:inline distT="0" distR="0" distB="0" distL="0">
            <wp:extent cx="5257800" cy="36385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56"/>
                    <a:stretch>
                      <a:fillRect/>
                    </a:stretch>
                  </pic:blipFill>
                  <pic:spPr>
                    <a:xfrm>
                      <a:off x="0" y="0"/>
                      <a:ext cx="5257800" cy="3638550"/>
                    </a:xfrm>
                    <a:prstGeom prst="rect">
                      <a:avLst/>
                    </a:prstGeom>
                  </pic:spPr>
                </pic:pic>
              </a:graphicData>
            </a:graphic>
          </wp:inline>
        </w:drawing>
      </w:r>
    </w:p>
    <w:p>
      <w:pPr>
        <w:pStyle w:val="3"/>
        <w:spacing w:before="300" w:after="120" w:line="288" w:lineRule="auto"/>
        <w:ind w:left="0"/>
        <w:jc w:val="left"/>
        <w:outlineLvl w:val="2"/>
      </w:pPr>
      <w:bookmarkStart w:name="heading_19" w:id="19"/>
      <w:r>
        <w:rPr>
          <w:rFonts w:eastAsia="等线" w:ascii="Arial" w:cs="Arial" w:hAnsi="Arial"/>
          <w:b w:val="true"/>
          <w:sz w:val="30"/>
        </w:rPr>
        <w:t>拆分合并与分红</w:t>
      </w:r>
      <w:bookmarkEnd w:id="19"/>
    </w:p>
    <w:p>
      <w:pPr>
        <w:numPr>
          <w:numId w:val="94"/>
        </w:numPr>
        <w:spacing w:before="120" w:after="120" w:line="288" w:lineRule="auto"/>
        <w:ind w:left="0"/>
        <w:jc w:val="left"/>
      </w:pPr>
      <w:r>
        <w:rPr>
          <w:rFonts w:eastAsia="等线" w:ascii="Arial" w:cs="Arial" w:hAnsi="Arial"/>
          <w:b w:val="true"/>
          <w:sz w:val="22"/>
        </w:rPr>
        <w:t>传统前复权回测模式：</w:t>
      </w:r>
      <w:r>
        <w:rPr>
          <w:rFonts w:eastAsia="等线" w:ascii="Arial" w:cs="Arial" w:hAnsi="Arial"/>
          <w:sz w:val="22"/>
        </w:rPr>
        <w:t>当股票发生拆分，合并或者分红时，股票价格会受到影响，为了保证价格的连续性, 我们使用前复权来处理之前的股票价格，给您的所有股票价格已经是前复权的价格。</w:t>
      </w:r>
    </w:p>
    <w:p>
      <w:pPr>
        <w:numPr>
          <w:numId w:val="95"/>
        </w:numPr>
        <w:spacing w:before="120" w:after="120" w:line="288" w:lineRule="auto"/>
        <w:ind w:left="0"/>
        <w:jc w:val="left"/>
      </w:pPr>
      <w:r>
        <w:rPr>
          <w:rFonts w:eastAsia="等线" w:ascii="Arial" w:cs="Arial" w:hAnsi="Arial"/>
          <w:b w:val="true"/>
          <w:sz w:val="22"/>
        </w:rPr>
        <w:t>真实价格（动态复权）回测模式：</w:t>
      </w:r>
      <w:r>
        <w:rPr>
          <w:rFonts w:eastAsia="等线" w:ascii="Arial" w:cs="Arial" w:hAnsi="Arial"/>
          <w:sz w:val="22"/>
        </w:rPr>
        <w:t>当股票发生拆分，合并或者分红时，会按照历史情况，对账户进行处理，会在账户账户中增加现金或持股数量发生变化，并会有日志提示。</w:t>
      </w:r>
    </w:p>
    <w:p>
      <w:pPr>
        <w:spacing w:before="120" w:after="120" w:line="288" w:lineRule="auto"/>
        <w:ind w:left="0"/>
        <w:jc w:val="left"/>
      </w:pPr>
      <w:r>
        <w:rPr>
          <w:rFonts w:eastAsia="等线" w:ascii="Arial" w:cs="Arial" w:hAnsi="Arial"/>
          <w:sz w:val="22"/>
        </w:rPr>
        <w:t>内容</w:t>
      </w:r>
    </w:p>
    <w:p>
      <w:pPr>
        <w:spacing w:before="120" w:after="120" w:line="288" w:lineRule="auto"/>
        <w:ind w:left="0"/>
        <w:jc w:val="left"/>
      </w:pPr>
      <w:r>
        <w:rPr>
          <w:rFonts w:eastAsia="等线" w:ascii="Arial" w:cs="Arial" w:hAnsi="Arial"/>
          <w:sz w:val="22"/>
        </w:rPr>
        <w:t>传统前复权回测模式 与 真实价格（动态复权）回测模式 区别</w:t>
      </w:r>
    </w:p>
    <w:p>
      <w:pPr>
        <w:spacing w:before="120" w:after="120" w:line="288" w:lineRule="auto"/>
        <w:ind w:left="0"/>
        <w:jc w:val="left"/>
      </w:pPr>
      <w:r>
        <w:rPr>
          <w:rFonts w:eastAsia="等线" w:ascii="Arial" w:cs="Arial" w:hAnsi="Arial"/>
          <w:sz w:val="22"/>
        </w:rPr>
        <w:t>是否开启动态复权(真实价格)模式对模拟交易的影响</w:t>
      </w:r>
    </w:p>
    <w:p>
      <w:pPr>
        <w:pStyle w:val="3"/>
        <w:spacing w:before="300" w:after="120" w:line="288" w:lineRule="auto"/>
        <w:ind w:left="0"/>
        <w:jc w:val="left"/>
        <w:outlineLvl w:val="2"/>
      </w:pPr>
      <w:bookmarkStart w:name="heading_20" w:id="20"/>
      <w:r>
        <w:rPr>
          <w:rFonts w:eastAsia="等线" w:ascii="Arial" w:cs="Arial" w:hAnsi="Arial"/>
          <w:b w:val="true"/>
          <w:sz w:val="30"/>
        </w:rPr>
        <w:t>股息红利税的计算</w:t>
      </w:r>
      <w:bookmarkEnd w:id="20"/>
    </w:p>
    <w:p>
      <w:pPr>
        <w:spacing w:before="120" w:after="120" w:line="288" w:lineRule="auto"/>
        <w:ind w:left="0"/>
        <w:jc w:val="left"/>
      </w:pPr>
      <w:r>
        <w:rPr>
          <w:rFonts w:eastAsia="等线" w:ascii="Arial" w:cs="Arial" w:hAnsi="Arial"/>
          <w:sz w:val="22"/>
        </w:rPr>
        <w:t>真实的税率计算方式如下：</w:t>
      </w:r>
    </w:p>
    <w:p>
      <w:pPr>
        <w:numPr>
          <w:numId w:val="96"/>
        </w:numPr>
        <w:spacing w:before="120" w:after="120" w:line="288" w:lineRule="auto"/>
        <w:ind w:left="0"/>
        <w:jc w:val="left"/>
      </w:pPr>
      <w:r>
        <w:rPr>
          <w:rFonts w:eastAsia="等线" w:ascii="Arial" w:cs="Arial" w:hAnsi="Arial"/>
          <w:sz w:val="22"/>
        </w:rPr>
        <w:t>分红派息的时候，不扣税；</w:t>
      </w:r>
    </w:p>
    <w:p>
      <w:pPr>
        <w:numPr>
          <w:numId w:val="97"/>
        </w:numPr>
        <w:spacing w:before="120" w:after="120" w:line="288" w:lineRule="auto"/>
        <w:ind w:left="0"/>
        <w:jc w:val="left"/>
      </w:pPr>
      <w:r>
        <w:rPr>
          <w:rFonts w:eastAsia="等线" w:ascii="Arial" w:cs="Arial" w:hAnsi="Arial"/>
          <w:sz w:val="22"/>
        </w:rPr>
        <w:t>等你卖出该只股票时，会根据你的股票持有时间（自你买进之日，算到你卖出之日的前一天，下同）超过一年的免税。2015年9月之前的政策是，满一年的收5%。现在执行的是,2015年9月份的新优惠政策：满一年的免税；</w:t>
      </w:r>
    </w:p>
    <w:p>
      <w:pPr>
        <w:numPr>
          <w:numId w:val="98"/>
        </w:numPr>
        <w:spacing w:before="120" w:after="120" w:line="288" w:lineRule="auto"/>
        <w:ind w:left="0"/>
        <w:jc w:val="left"/>
      </w:pPr>
      <w:r>
        <w:rPr>
          <w:rFonts w:eastAsia="等线" w:ascii="Arial" w:cs="Arial" w:hAnsi="Arial"/>
          <w:sz w:val="22"/>
        </w:rPr>
        <w:t>等你卖出股票时，你的持有时间在1个月以内（含1个月）的，补交红利的20%税款，券商会在你卖出股票当日清算时直接扣收；</w:t>
      </w:r>
    </w:p>
    <w:p>
      <w:pPr>
        <w:numPr>
          <w:numId w:val="99"/>
        </w:numPr>
        <w:spacing w:before="120" w:after="120" w:line="288" w:lineRule="auto"/>
        <w:ind w:left="0"/>
        <w:jc w:val="left"/>
      </w:pPr>
      <w:r>
        <w:rPr>
          <w:rFonts w:eastAsia="等线" w:ascii="Arial" w:cs="Arial" w:hAnsi="Arial"/>
          <w:sz w:val="22"/>
        </w:rPr>
        <w:t>等你卖出股票时，你的持有时间在1个月至1年间（含1年）的，补交红利的10%税款，券商直接扣；</w:t>
      </w:r>
    </w:p>
    <w:p>
      <w:pPr>
        <w:numPr>
          <w:numId w:val="100"/>
        </w:numPr>
        <w:spacing w:before="120" w:after="120" w:line="288" w:lineRule="auto"/>
        <w:ind w:left="0"/>
        <w:jc w:val="left"/>
      </w:pPr>
      <w:r>
        <w:rPr>
          <w:rFonts w:eastAsia="等线" w:ascii="Arial" w:cs="Arial" w:hAnsi="Arial"/>
          <w:sz w:val="22"/>
        </w:rPr>
        <w:t>分次买入的股票，一律按照“先进先出”原则，对应计算持股时间；</w:t>
      </w:r>
    </w:p>
    <w:p>
      <w:pPr>
        <w:numPr>
          <w:numId w:val="101"/>
        </w:numPr>
        <w:spacing w:before="120" w:after="120" w:line="288" w:lineRule="auto"/>
        <w:ind w:left="0"/>
        <w:jc w:val="left"/>
      </w:pPr>
      <w:r>
        <w:rPr>
          <w:rFonts w:eastAsia="等线" w:ascii="Arial" w:cs="Arial" w:hAnsi="Arial"/>
          <w:sz w:val="22"/>
        </w:rPr>
        <w:t>当日有买进卖出的（即所谓做盘中T+0），收盘后系统计算你当日净额，净额为买入，则记录为今日新买入。净额为卖出，则按照先进先出原则，算成你卖出了你最早买入的对应数量持股，并考虑是否扣税和税率问题。</w:t>
      </w:r>
    </w:p>
    <w:p>
      <w:pPr>
        <w:spacing w:before="120" w:after="120" w:line="288" w:lineRule="auto"/>
        <w:ind w:left="0"/>
        <w:jc w:val="left"/>
      </w:pPr>
      <w:r>
        <w:rPr>
          <w:rFonts w:eastAsia="等线" w:ascii="Arial" w:cs="Arial" w:hAnsi="Arial"/>
          <w:sz w:val="22"/>
        </w:rPr>
        <w:t>在回测及模拟交易中，由于需要在分红当天将扣税后的分红现金发放到账户，因此无法准确计算用户的持仓时间（不知道股票卖出时间），我们的计算方式是，统一按照 20% 的税率计算的。</w:t>
      </w:r>
    </w:p>
    <w:p>
      <w:pPr>
        <w:pStyle w:val="3"/>
        <w:spacing w:before="300" w:after="120" w:line="288" w:lineRule="auto"/>
        <w:ind w:left="0"/>
        <w:jc w:val="left"/>
        <w:outlineLvl w:val="2"/>
      </w:pPr>
      <w:bookmarkStart w:name="heading_21" w:id="21"/>
      <w:r>
        <w:rPr>
          <w:rFonts w:eastAsia="等线" w:ascii="Arial" w:cs="Arial" w:hAnsi="Arial"/>
          <w:b w:val="true"/>
          <w:sz w:val="30"/>
        </w:rPr>
        <w:t>滑点</w:t>
      </w:r>
      <w:bookmarkEnd w:id="21"/>
    </w:p>
    <w:p>
      <w:pPr>
        <w:spacing w:before="120" w:after="120" w:line="288" w:lineRule="auto"/>
        <w:ind w:left="0"/>
        <w:jc w:val="left"/>
      </w:pPr>
      <w:r>
        <w:rPr>
          <w:rFonts w:eastAsia="等线" w:ascii="Arial" w:cs="Arial" w:hAnsi="Arial"/>
          <w:sz w:val="22"/>
        </w:rPr>
        <w:t>在实战交易中，往往最终成交价和预期价格有一定偏差，因此我们加入了滑点模式来帮助您更好地模拟真实市场的表现，可以使用</w:t>
      </w:r>
      <w:hyperlink r:id="rId57">
        <w:r>
          <w:rPr>
            <w:rFonts w:eastAsia="等线" w:ascii="Arial" w:cs="Arial" w:hAnsi="Arial"/>
            <w:color w:val="3370ff"/>
            <w:sz w:val="22"/>
          </w:rPr>
          <w:t>set_slippage</w:t>
        </w:r>
      </w:hyperlink>
      <w:r>
        <w:rPr>
          <w:rFonts w:eastAsia="等线" w:ascii="Arial" w:cs="Arial" w:hAnsi="Arial"/>
          <w:sz w:val="22"/>
        </w:rPr>
        <w:t>设置滑点。</w:t>
      </w:r>
    </w:p>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b w:val="true"/>
          <w:sz w:val="30"/>
        </w:rPr>
        <w:t>交易税费</w:t>
      </w:r>
      <w:bookmarkEnd w:id="22"/>
    </w:p>
    <w:p>
      <w:pPr>
        <w:spacing w:before="120" w:after="120" w:line="288" w:lineRule="auto"/>
        <w:ind w:left="0"/>
        <w:jc w:val="left"/>
      </w:pPr>
      <w:r>
        <w:rPr>
          <w:rFonts w:eastAsia="等线" w:ascii="Arial" w:cs="Arial" w:hAnsi="Arial"/>
          <w:sz w:val="22"/>
        </w:rPr>
        <w:t>交易税费包含券商手续费和印花税。您可以通过</w:t>
      </w:r>
      <w:hyperlink r:id="rId58">
        <w:r>
          <w:rPr>
            <w:rFonts w:eastAsia="等线" w:ascii="Arial" w:cs="Arial" w:hAnsi="Arial"/>
            <w:color w:val="3370ff"/>
            <w:sz w:val="22"/>
          </w:rPr>
          <w:t>set_order_cost</w:t>
        </w:r>
      </w:hyperlink>
      <w:r>
        <w:rPr>
          <w:rFonts w:eastAsia="等线" w:ascii="Arial" w:cs="Arial" w:hAnsi="Arial"/>
          <w:sz w:val="22"/>
        </w:rPr>
        <w:t>来设置具体的交易税费的参数。</w:t>
      </w:r>
    </w:p>
    <w:p>
      <w:pPr>
        <w:pStyle w:val="5"/>
        <w:spacing w:before="240" w:after="120" w:line="288" w:lineRule="auto"/>
        <w:ind w:left="0"/>
        <w:jc w:val="left"/>
        <w:outlineLvl w:val="4"/>
      </w:pPr>
      <w:bookmarkStart w:name="heading_23" w:id="23"/>
      <w:r>
        <w:rPr>
          <w:rFonts w:eastAsia="等线" w:ascii="Arial" w:cs="Arial" w:hAnsi="Arial"/>
          <w:b w:val="true"/>
          <w:sz w:val="24"/>
        </w:rPr>
        <w:t>券商手续费</w:t>
      </w:r>
      <w:bookmarkEnd w:id="23"/>
    </w:p>
    <w:p>
      <w:pPr>
        <w:spacing w:before="120" w:after="120" w:line="288" w:lineRule="auto"/>
        <w:ind w:left="0"/>
        <w:jc w:val="left"/>
      </w:pPr>
      <w:r>
        <w:rPr>
          <w:rFonts w:eastAsia="等线" w:ascii="Arial" w:cs="Arial" w:hAnsi="Arial"/>
          <w:sz w:val="22"/>
        </w:rPr>
        <w:t>中国A股市场目前为双边收费，券商手续费系默认值为万分之三，即0.03%，最少5元。</w:t>
      </w:r>
    </w:p>
    <w:p>
      <w:pPr>
        <w:pStyle w:val="5"/>
        <w:spacing w:before="240" w:after="120" w:line="288" w:lineRule="auto"/>
        <w:ind w:left="0"/>
        <w:jc w:val="left"/>
        <w:outlineLvl w:val="4"/>
      </w:pPr>
      <w:bookmarkStart w:name="heading_24" w:id="24"/>
      <w:r>
        <w:rPr>
          <w:rFonts w:eastAsia="等线" w:ascii="Arial" w:cs="Arial" w:hAnsi="Arial"/>
          <w:b w:val="true"/>
          <w:sz w:val="24"/>
        </w:rPr>
        <w:t>印花税</w:t>
      </w:r>
      <w:bookmarkEnd w:id="24"/>
    </w:p>
    <w:p>
      <w:pPr>
        <w:spacing w:before="120" w:after="120" w:line="288" w:lineRule="auto"/>
        <w:ind w:left="0"/>
        <w:jc w:val="left"/>
      </w:pPr>
      <w:r>
        <w:rPr>
          <w:rFonts w:eastAsia="等线" w:ascii="Arial" w:cs="Arial" w:hAnsi="Arial"/>
          <w:sz w:val="22"/>
        </w:rPr>
        <w:t>印花税对卖方单边征收，对买方不再征收，系统默认为千分之一，即0.1%。</w:t>
      </w:r>
    </w:p>
    <w:p>
      <w:pPr>
        <w:pStyle w:val="3"/>
        <w:spacing w:before="300" w:after="120" w:line="288" w:lineRule="auto"/>
        <w:ind w:left="0"/>
        <w:jc w:val="left"/>
        <w:outlineLvl w:val="2"/>
      </w:pPr>
      <w:bookmarkStart w:name="heading_25" w:id="25"/>
      <w:r>
        <w:rPr>
          <w:rFonts w:eastAsia="等线" w:ascii="Arial" w:cs="Arial" w:hAnsi="Arial"/>
          <w:b w:val="true"/>
          <w:sz w:val="30"/>
        </w:rPr>
        <w:t>风险指标</w:t>
      </w:r>
      <w:bookmarkEnd w:id="25"/>
    </w:p>
    <w:p>
      <w:pPr>
        <w:spacing w:before="120" w:after="120" w:line="288" w:lineRule="auto"/>
        <w:ind w:left="0"/>
        <w:jc w:val="left"/>
      </w:pPr>
      <w:r>
        <w:rPr>
          <w:rFonts w:eastAsia="等线" w:ascii="Arial" w:cs="Arial" w:hAnsi="Arial"/>
          <w:sz w:val="22"/>
        </w:rPr>
        <w:t>风险指标数据有利于您对策略进行一个客观的评价。</w:t>
      </w:r>
    </w:p>
    <w:p>
      <w:pPr>
        <w:spacing w:before="120" w:after="120" w:line="288" w:lineRule="auto"/>
        <w:ind w:left="0"/>
        <w:jc w:val="left"/>
      </w:pPr>
      <w:r>
        <w:rPr>
          <w:rFonts w:eastAsia="等线" w:ascii="Arial" w:cs="Arial" w:hAnsi="Arial"/>
          <w:b w:val="true"/>
          <w:sz w:val="22"/>
        </w:rPr>
        <w:t>注意</w:t>
      </w:r>
      <w:r>
        <w:rPr>
          <w:rFonts w:eastAsia="等线" w:ascii="Arial" w:cs="Arial" w:hAnsi="Arial"/>
          <w:sz w:val="22"/>
        </w:rPr>
        <w:t>: 无论是回测还是模拟, 所有风险指标(年化收益/alpha/beta/sharpe/max_drawdown等指标)都只会</w:t>
      </w:r>
      <w:r>
        <w:rPr>
          <w:rFonts w:eastAsia="等线" w:ascii="Arial" w:cs="Arial" w:hAnsi="Arial"/>
          <w:b w:val="true"/>
          <w:sz w:val="22"/>
        </w:rPr>
        <w:t>每天于17:00左右更新一次, 也只根据每天收盘后的收益计算, 并不考虑每天盘中的收益情况</w:t>
      </w:r>
      <w:r>
        <w:rPr>
          <w:rFonts w:eastAsia="等线" w:ascii="Arial" w:cs="Arial" w:hAnsi="Arial"/>
          <w:sz w:val="22"/>
        </w:rPr>
        <w:t>. 例外:</w:t>
      </w:r>
    </w:p>
    <w:p>
      <w:pPr>
        <w:numPr>
          <w:numId w:val="102"/>
        </w:numPr>
        <w:spacing w:before="120" w:after="120" w:line="288" w:lineRule="auto"/>
        <w:ind w:left="0"/>
        <w:jc w:val="left"/>
      </w:pPr>
      <w:r>
        <w:rPr>
          <w:rFonts w:eastAsia="等线" w:ascii="Arial" w:cs="Arial" w:hAnsi="Arial"/>
          <w:sz w:val="22"/>
        </w:rPr>
        <w:t>分钟和TICK模拟盘每分钟会更新策略收益和基准收益</w:t>
      </w:r>
    </w:p>
    <w:p>
      <w:pPr>
        <w:numPr>
          <w:numId w:val="103"/>
        </w:numPr>
        <w:spacing w:before="120" w:after="120" w:line="288" w:lineRule="auto"/>
        <w:ind w:left="0"/>
        <w:jc w:val="left"/>
      </w:pPr>
      <w:r>
        <w:rPr>
          <w:rFonts w:eastAsia="等线" w:ascii="Arial" w:cs="Arial" w:hAnsi="Arial"/>
          <w:sz w:val="22"/>
        </w:rPr>
        <w:t>按天模拟盘每天开盘后和收盘后会更新策略收益和基准收益</w:t>
      </w:r>
    </w:p>
    <w:p>
      <w:pPr>
        <w:numPr>
          <w:numId w:val="104"/>
        </w:numPr>
        <w:spacing w:before="120" w:after="120" w:line="288" w:lineRule="auto"/>
        <w:ind w:left="0"/>
        <w:jc w:val="left"/>
      </w:pPr>
      <w:r>
        <w:rPr>
          <w:rFonts w:eastAsia="等线" w:ascii="Arial" w:cs="Arial" w:hAnsi="Arial"/>
          <w:sz w:val="22"/>
        </w:rPr>
        <w:t>基准收益的计算起点取的是回测开始时间前一个交易日的收盘价</w:t>
      </w:r>
    </w:p>
    <w:p>
      <w:pPr>
        <w:spacing w:before="120" w:after="120" w:line="288" w:lineRule="auto"/>
        <w:ind w:left="0"/>
        <w:jc w:val="left"/>
      </w:pPr>
      <w:r>
        <w:rPr>
          <w:rFonts w:eastAsia="等线" w:ascii="Arial" w:cs="Arial" w:hAnsi="Arial"/>
          <w:sz w:val="22"/>
        </w:rPr>
        <w:t>那么可能会造成这种现象: 模拟时收益曲线中有回撤, 但是 max_drawdown 可能为0.</w:t>
      </w:r>
    </w:p>
    <w:p>
      <w:pPr>
        <w:spacing w:before="120" w:after="120" w:line="288" w:lineRule="auto"/>
        <w:ind w:left="0"/>
        <w:jc w:val="left"/>
      </w:pPr>
      <w:r>
        <w:rPr>
          <w:rFonts w:eastAsia="等线" w:ascii="Arial" w:cs="Arial" w:hAnsi="Arial"/>
          <w:sz w:val="22"/>
        </w:rPr>
        <w:t>名称描述</w:t>
      </w:r>
    </w:p>
    <w:p>
      <w:pPr>
        <w:spacing w:before="120" w:after="120" w:line="288" w:lineRule="auto"/>
        <w:ind w:left="0"/>
        <w:jc w:val="left"/>
      </w:pPr>
      <w:r>
        <w:rPr>
          <w:rFonts w:eastAsia="等线" w:ascii="Arial" w:cs="Arial" w:hAnsi="Arial"/>
          <w:sz w:val="22"/>
        </w:rPr>
        <w:t>Total Returns策略收益</w:t>
      </w:r>
    </w:p>
    <w:p>
      <w:pPr>
        <w:spacing w:before="120" w:after="120" w:line="288" w:lineRule="auto"/>
        <w:ind w:left="0"/>
        <w:jc w:val="left"/>
      </w:pPr>
      <w:r>
        <w:rPr>
          <w:rFonts w:eastAsia="等线" w:ascii="Arial" w:cs="Arial" w:hAnsi="Arial"/>
          <w:sz w:val="22"/>
        </w:rPr>
        <w:t>Total Annualized Returns策略年化收益</w:t>
      </w:r>
    </w:p>
    <w:p>
      <w:pPr>
        <w:spacing w:before="120" w:after="120" w:line="288" w:lineRule="auto"/>
        <w:ind w:left="0"/>
        <w:jc w:val="left"/>
      </w:pPr>
      <w:r>
        <w:rPr>
          <w:rFonts w:eastAsia="等线" w:ascii="Arial" w:cs="Arial" w:hAnsi="Arial"/>
          <w:sz w:val="22"/>
        </w:rPr>
        <w:t>Alpha阿尔法</w:t>
      </w:r>
    </w:p>
    <w:p>
      <w:pPr>
        <w:spacing w:before="120" w:after="120" w:line="288" w:lineRule="auto"/>
        <w:ind w:left="0"/>
        <w:jc w:val="left"/>
      </w:pPr>
      <w:r>
        <w:rPr>
          <w:rFonts w:eastAsia="等线" w:ascii="Arial" w:cs="Arial" w:hAnsi="Arial"/>
          <w:sz w:val="22"/>
        </w:rPr>
        <w:t>Beta贝塔</w:t>
      </w:r>
    </w:p>
    <w:p>
      <w:pPr>
        <w:spacing w:before="120" w:after="120" w:line="288" w:lineRule="auto"/>
        <w:ind w:left="0"/>
        <w:jc w:val="left"/>
      </w:pPr>
      <w:r>
        <w:rPr>
          <w:rFonts w:eastAsia="等线" w:ascii="Arial" w:cs="Arial" w:hAnsi="Arial"/>
          <w:sz w:val="22"/>
        </w:rPr>
        <w:t>Sharpe夏普比率</w:t>
      </w:r>
    </w:p>
    <w:p>
      <w:pPr>
        <w:spacing w:before="120" w:after="120" w:line="288" w:lineRule="auto"/>
        <w:ind w:left="0"/>
        <w:jc w:val="left"/>
      </w:pPr>
      <w:r>
        <w:rPr>
          <w:rFonts w:eastAsia="等线" w:ascii="Arial" w:cs="Arial" w:hAnsi="Arial"/>
          <w:sz w:val="22"/>
        </w:rPr>
        <w:t>Sortino索提诺比率</w:t>
      </w:r>
    </w:p>
    <w:p>
      <w:pPr>
        <w:spacing w:before="120" w:after="120" w:line="288" w:lineRule="auto"/>
        <w:ind w:left="0"/>
        <w:jc w:val="left"/>
      </w:pPr>
      <w:r>
        <w:rPr>
          <w:rFonts w:eastAsia="等线" w:ascii="Arial" w:cs="Arial" w:hAnsi="Arial"/>
          <w:sz w:val="22"/>
        </w:rPr>
        <w:t>Information Ratio信息比率</w:t>
      </w:r>
    </w:p>
    <w:p>
      <w:pPr>
        <w:spacing w:before="120" w:after="120" w:line="288" w:lineRule="auto"/>
        <w:ind w:left="0"/>
        <w:jc w:val="left"/>
      </w:pPr>
      <w:r>
        <w:rPr>
          <w:rFonts w:eastAsia="等线" w:ascii="Arial" w:cs="Arial" w:hAnsi="Arial"/>
          <w:sz w:val="22"/>
        </w:rPr>
        <w:t>Algorithm Volatility策略波动率</w:t>
      </w:r>
    </w:p>
    <w:p>
      <w:pPr>
        <w:spacing w:before="120" w:after="120" w:line="288" w:lineRule="auto"/>
        <w:ind w:left="0"/>
        <w:jc w:val="left"/>
      </w:pPr>
      <w:r>
        <w:rPr>
          <w:rFonts w:eastAsia="等线" w:ascii="Arial" w:cs="Arial" w:hAnsi="Arial"/>
          <w:sz w:val="22"/>
        </w:rPr>
        <w:t>Benchmark Volatility基准波动率</w:t>
      </w:r>
    </w:p>
    <w:p>
      <w:pPr>
        <w:spacing w:before="120" w:after="120" w:line="288" w:lineRule="auto"/>
        <w:ind w:left="0"/>
        <w:jc w:val="left"/>
      </w:pPr>
      <w:r>
        <w:rPr>
          <w:rFonts w:eastAsia="等线" w:ascii="Arial" w:cs="Arial" w:hAnsi="Arial"/>
          <w:sz w:val="22"/>
        </w:rPr>
        <w:t>Max Drawdown最大回撤</w:t>
      </w:r>
    </w:p>
    <w:p>
      <w:pPr>
        <w:spacing w:before="120" w:after="120" w:line="288" w:lineRule="auto"/>
        <w:ind w:left="0"/>
        <w:jc w:val="left"/>
      </w:pPr>
      <w:r>
        <w:rPr>
          <w:rFonts w:eastAsia="等线" w:ascii="Arial" w:cs="Arial" w:hAnsi="Arial"/>
          <w:sz w:val="22"/>
        </w:rPr>
        <w:t>Downside Risk下行波动率</w:t>
      </w:r>
    </w:p>
    <w:p>
      <w:pPr>
        <w:spacing w:before="120" w:after="120" w:line="288" w:lineRule="auto"/>
        <w:ind w:left="0"/>
        <w:jc w:val="left"/>
      </w:pPr>
      <w:r>
        <w:rPr>
          <w:rFonts w:eastAsia="等线" w:ascii="Arial" w:cs="Arial" w:hAnsi="Arial"/>
          <w:sz w:val="22"/>
        </w:rPr>
        <w:t>胜率胜率(%)</w:t>
      </w:r>
    </w:p>
    <w:p>
      <w:pPr>
        <w:spacing w:before="120" w:after="120" w:line="288" w:lineRule="auto"/>
        <w:ind w:left="0"/>
        <w:jc w:val="left"/>
      </w:pPr>
      <w:r>
        <w:rPr>
          <w:rFonts w:eastAsia="等线" w:ascii="Arial" w:cs="Arial" w:hAnsi="Arial"/>
          <w:sz w:val="22"/>
        </w:rPr>
        <w:t>日胜率日胜率(%)</w:t>
      </w:r>
    </w:p>
    <w:p>
      <w:pPr>
        <w:spacing w:before="120" w:after="120" w:line="288" w:lineRule="auto"/>
        <w:ind w:left="0"/>
        <w:jc w:val="left"/>
      </w:pPr>
      <w:r>
        <w:rPr>
          <w:rFonts w:eastAsia="等线" w:ascii="Arial" w:cs="Arial" w:hAnsi="Arial"/>
          <w:sz w:val="22"/>
        </w:rPr>
        <w:t>盈亏比盈亏比</w:t>
      </w:r>
    </w:p>
    <w:p>
      <w:pPr>
        <w:spacing w:before="120" w:after="120" w:line="288" w:lineRule="auto"/>
        <w:ind w:left="0"/>
        <w:jc w:val="left"/>
      </w:pPr>
      <w:r>
        <w:rPr>
          <w:rFonts w:eastAsia="等线" w:ascii="Arial" w:cs="Arial" w:hAnsi="Arial"/>
          <w:sz w:val="22"/>
        </w:rPr>
        <w:t>AEI日均超额收益</w:t>
      </w:r>
    </w:p>
    <w:p>
      <w:pPr>
        <w:spacing w:before="120" w:after="120" w:line="288" w:lineRule="auto"/>
        <w:ind w:left="0"/>
        <w:jc w:val="left"/>
      </w:pPr>
      <w:r>
        <w:rPr>
          <w:rFonts w:eastAsia="等线" w:ascii="Arial" w:cs="Arial" w:hAnsi="Arial"/>
          <w:sz w:val="22"/>
        </w:rPr>
        <w:t>超额收益最大回撤超额收益最大回撤</w:t>
      </w:r>
    </w:p>
    <w:p>
      <w:pPr>
        <w:spacing w:before="120" w:after="120" w:line="288" w:lineRule="auto"/>
        <w:ind w:left="0"/>
        <w:jc w:val="left"/>
      </w:pPr>
      <w:r>
        <w:rPr>
          <w:rFonts w:eastAsia="等线" w:ascii="Arial" w:cs="Arial" w:hAnsi="Arial"/>
          <w:sz w:val="22"/>
        </w:rPr>
        <w:t>超额收益夏普比率超额收益夏普比率</w:t>
      </w:r>
    </w:p>
    <w:p>
      <w:pPr>
        <w:spacing w:before="120" w:after="120" w:line="288" w:lineRule="auto"/>
        <w:ind w:left="0"/>
        <w:jc w:val="left"/>
      </w:pPr>
      <w:r>
        <w:rPr>
          <w:rFonts w:eastAsia="等线" w:ascii="Arial" w:cs="Arial" w:hAnsi="Arial"/>
          <w:sz w:val="22"/>
        </w:rPr>
        <w:t>超额收益除法版超额收益率说明</w:t>
      </w:r>
    </w:p>
    <w:p>
      <w:pPr>
        <w:spacing w:before="120" w:after="120" w:line="288" w:lineRule="auto"/>
        <w:ind w:left="0"/>
        <w:jc w:val="left"/>
      </w:pPr>
      <w:r>
        <w:rPr>
          <w:rFonts w:eastAsia="等线" w:ascii="Arial" w:cs="Arial" w:hAnsi="Arial"/>
          <w:sz w:val="22"/>
        </w:rPr>
        <w:t>对数轴对数轴说明</w:t>
      </w:r>
    </w:p>
    <w:p>
      <w:pPr>
        <w:spacing w:before="120" w:after="120" w:line="288" w:lineRule="auto"/>
        <w:ind w:left="0"/>
        <w:jc w:val="left"/>
      </w:pPr>
      <w:r>
        <w:rPr>
          <w:rFonts w:eastAsia="等线" w:ascii="Arial" w:cs="Arial" w:hAnsi="Arial"/>
          <w:sz w:val="22"/>
        </w:rPr>
        <w:t>对数轴上的超额收益对数轴上的超额收益的计算方法</w:t>
      </w:r>
    </w:p>
    <w:p>
      <w:pPr>
        <w:pStyle w:val="3"/>
        <w:spacing w:before="300" w:after="120" w:line="288" w:lineRule="auto"/>
        <w:ind w:left="0"/>
        <w:jc w:val="left"/>
        <w:outlineLvl w:val="2"/>
      </w:pPr>
      <w:bookmarkStart w:name="heading_26" w:id="26"/>
      <w:r>
        <w:rPr>
          <w:rFonts w:eastAsia="等线" w:ascii="Arial" w:cs="Arial" w:hAnsi="Arial"/>
          <w:b w:val="true"/>
          <w:sz w:val="30"/>
        </w:rPr>
        <w:t>回测环境</w:t>
      </w:r>
      <w:bookmarkEnd w:id="26"/>
    </w:p>
    <w:p>
      <w:pPr>
        <w:numPr>
          <w:numId w:val="105"/>
        </w:numPr>
        <w:spacing w:before="120" w:after="120" w:line="288" w:lineRule="auto"/>
        <w:ind w:left="0"/>
        <w:jc w:val="left"/>
      </w:pPr>
      <w:r>
        <w:rPr>
          <w:rFonts w:eastAsia="等线" w:ascii="Arial" w:cs="Arial" w:hAnsi="Arial"/>
          <w:sz w:val="22"/>
        </w:rPr>
        <w:t>回测引擎可在Python2.7与Python3.6上运行,默认使用Python3.6。我们将在未来逐步停止对Python2.7引擎的更新，强烈建议您使用Python3.6开发策略。</w:t>
      </w:r>
    </w:p>
    <w:p>
      <w:pPr>
        <w:numPr>
          <w:numId w:val="106"/>
        </w:numPr>
        <w:spacing w:before="120" w:after="120" w:line="288" w:lineRule="auto"/>
        <w:ind w:left="0"/>
        <w:jc w:val="left"/>
      </w:pPr>
      <w:r>
        <w:rPr>
          <w:rFonts w:eastAsia="等线" w:ascii="Arial" w:cs="Arial" w:hAnsi="Arial"/>
          <w:sz w:val="22"/>
        </w:rPr>
        <w:t xml:space="preserve">我们支持所有的Python标准库和部分常用第三方库, 具体请看: </w:t>
      </w:r>
      <w:hyperlink r:id="rId59">
        <w:r>
          <w:rPr>
            <w:rFonts w:eastAsia="等线" w:ascii="Arial" w:cs="Arial" w:hAnsi="Arial"/>
            <w:color w:val="3370ff"/>
            <w:sz w:val="22"/>
          </w:rPr>
          <w:t>研究和回测（模拟）中都支持哪些第三方Python库</w:t>
        </w:r>
      </w:hyperlink>
      <w:r>
        <w:rPr>
          <w:rFonts w:eastAsia="等线" w:ascii="Arial" w:cs="Arial" w:hAnsi="Arial"/>
          <w:sz w:val="22"/>
        </w:rPr>
        <w:t>. 另外您可以把.py文件放在研究根目录, 回测中可以直接import, 具体请看: 自定义python库</w:t>
      </w:r>
    </w:p>
    <w:p>
      <w:pPr>
        <w:numPr>
          <w:numId w:val="107"/>
        </w:numPr>
        <w:spacing w:before="120" w:after="120" w:line="288" w:lineRule="auto"/>
        <w:ind w:left="0"/>
        <w:jc w:val="left"/>
      </w:pPr>
      <w:r>
        <w:rPr>
          <w:rFonts w:eastAsia="等线" w:ascii="Arial" w:cs="Arial" w:hAnsi="Arial"/>
          <w:sz w:val="22"/>
        </w:rPr>
        <w:t>安全是平台的重中之重, 您的策略的运行也会受到一些限制, 具体请看: 安全</w:t>
      </w:r>
    </w:p>
    <w:p>
      <w:pPr>
        <w:spacing w:before="120" w:after="120" w:line="288" w:lineRule="auto"/>
        <w:ind w:left="0"/>
        <w:jc w:val="left"/>
      </w:pPr>
    </w:p>
    <w:p>
      <w:pPr>
        <w:pStyle w:val="3"/>
        <w:spacing w:before="300" w:after="120" w:line="288" w:lineRule="auto"/>
        <w:ind w:left="0"/>
        <w:jc w:val="left"/>
        <w:outlineLvl w:val="2"/>
      </w:pPr>
      <w:bookmarkStart w:name="heading_27" w:id="27"/>
      <w:r>
        <w:rPr>
          <w:rFonts w:eastAsia="等线" w:ascii="Arial" w:cs="Arial" w:hAnsi="Arial"/>
          <w:b w:val="true"/>
          <w:sz w:val="30"/>
        </w:rPr>
        <w:t>回测过程</w:t>
      </w:r>
      <w:bookmarkEnd w:id="27"/>
    </w:p>
    <w:p>
      <w:pPr>
        <w:numPr>
          <w:numId w:val="108"/>
        </w:numPr>
        <w:spacing w:before="120" w:after="120" w:line="288" w:lineRule="auto"/>
        <w:ind w:left="0"/>
        <w:jc w:val="left"/>
      </w:pPr>
      <w:r>
        <w:rPr>
          <w:rFonts w:eastAsia="等线" w:ascii="Arial" w:cs="Arial" w:hAnsi="Arial"/>
          <w:sz w:val="22"/>
        </w:rPr>
        <w:t>准备好您的策略,  选择要操作的股票池, 实现handle_data函数</w:t>
      </w:r>
    </w:p>
    <w:p>
      <w:pPr>
        <w:numPr>
          <w:numId w:val="109"/>
        </w:numPr>
        <w:spacing w:before="120" w:after="120" w:line="288" w:lineRule="auto"/>
        <w:ind w:left="0"/>
        <w:jc w:val="left"/>
      </w:pPr>
      <w:r>
        <w:rPr>
          <w:rFonts w:eastAsia="等线" w:ascii="Arial" w:cs="Arial" w:hAnsi="Arial"/>
          <w:sz w:val="22"/>
        </w:rPr>
        <w:t>选定一个回测开始和结束日期, 选择初始资金、调仓间隔(每天还是每分钟), 开始回测</w:t>
      </w:r>
    </w:p>
    <w:p>
      <w:pPr>
        <w:numPr>
          <w:numId w:val="110"/>
        </w:numPr>
        <w:spacing w:before="120" w:after="120" w:line="288" w:lineRule="auto"/>
        <w:ind w:left="0"/>
        <w:jc w:val="left"/>
      </w:pPr>
      <w:r>
        <w:rPr>
          <w:rFonts w:eastAsia="等线" w:ascii="Arial" w:cs="Arial" w:hAnsi="Arial"/>
          <w:sz w:val="22"/>
        </w:rPr>
        <w:t>引擎根据您选择的股票池和日期, 取得股票数据, 然后每一天或者每一分钟调用一次您的handle_data函数, 同时告诉您现金、持仓情况和股票在上一天或者分钟的数据. 在此函数中, 您还可以调用函数获取任何多天的历史数据, 然后做出调仓决定.</w:t>
      </w:r>
    </w:p>
    <w:p>
      <w:pPr>
        <w:numPr>
          <w:numId w:val="111"/>
        </w:numPr>
        <w:spacing w:before="120" w:after="120" w:line="288" w:lineRule="auto"/>
        <w:ind w:left="0"/>
        <w:jc w:val="left"/>
      </w:pPr>
      <w:r>
        <w:rPr>
          <w:rFonts w:eastAsia="等线" w:ascii="Arial" w:cs="Arial" w:hAnsi="Arial"/>
          <w:sz w:val="22"/>
        </w:rPr>
        <w:t>当您下单后, 我们会根据接下来时间的实际交易情况, 处理您的订单. 具体细节参见订单处理</w:t>
      </w:r>
    </w:p>
    <w:p>
      <w:pPr>
        <w:numPr>
          <w:numId w:val="112"/>
        </w:numPr>
        <w:spacing w:before="120" w:after="120" w:line="288" w:lineRule="auto"/>
        <w:ind w:left="0"/>
        <w:jc w:val="left"/>
      </w:pPr>
      <w:r>
        <w:rPr>
          <w:rFonts w:eastAsia="等线" w:ascii="Arial" w:cs="Arial" w:hAnsi="Arial"/>
          <w:sz w:val="22"/>
        </w:rPr>
        <w:t>下单后您可以调用get_open_orders取得所有未完成的订单, 调用cancel_order取消订单</w:t>
      </w:r>
    </w:p>
    <w:p>
      <w:pPr>
        <w:numPr>
          <w:numId w:val="113"/>
        </w:numPr>
        <w:spacing w:before="120" w:after="120" w:line="288" w:lineRule="auto"/>
        <w:ind w:left="0"/>
        <w:jc w:val="left"/>
      </w:pPr>
      <w:r>
        <w:rPr>
          <w:rFonts w:eastAsia="等线" w:ascii="Arial" w:cs="Arial" w:hAnsi="Arial"/>
          <w:sz w:val="22"/>
        </w:rPr>
        <w:t>您可以在handle_data里面调用record()函数记录某些数据, 我们会以图表的方式显示在回测结果页面</w:t>
      </w:r>
    </w:p>
    <w:p>
      <w:pPr>
        <w:numPr>
          <w:numId w:val="114"/>
        </w:numPr>
        <w:spacing w:before="120" w:after="120" w:line="288" w:lineRule="auto"/>
        <w:ind w:left="0"/>
        <w:jc w:val="left"/>
      </w:pPr>
      <w:r>
        <w:rPr>
          <w:rFonts w:eastAsia="等线" w:ascii="Arial" w:cs="Arial" w:hAnsi="Arial"/>
          <w:sz w:val="22"/>
        </w:rPr>
        <w:t>您可以在任何时候调用log.info/debug/warn/error函数来打印一些日志</w:t>
      </w:r>
    </w:p>
    <w:p>
      <w:pPr>
        <w:numPr>
          <w:numId w:val="115"/>
        </w:numPr>
        <w:spacing w:before="120" w:after="120" w:line="288" w:lineRule="auto"/>
        <w:ind w:left="0"/>
        <w:jc w:val="left"/>
      </w:pPr>
      <w:r>
        <w:rPr>
          <w:rFonts w:eastAsia="等线" w:ascii="Arial" w:cs="Arial" w:hAnsi="Arial"/>
          <w:sz w:val="22"/>
        </w:rPr>
        <w:t>回测结束后我们会画出您的收益和基准(参见</w:t>
      </w:r>
      <w:hyperlink r:id="rId60">
        <w:r>
          <w:rPr>
            <w:rFonts w:eastAsia="等线" w:ascii="Arial" w:cs="Arial" w:hAnsi="Arial"/>
            <w:color w:val="3370ff"/>
            <w:sz w:val="22"/>
          </w:rPr>
          <w:t>set_benchmark</w:t>
        </w:r>
      </w:hyperlink>
      <w:r>
        <w:rPr>
          <w:rFonts w:eastAsia="等线" w:ascii="Arial" w:cs="Arial" w:hAnsi="Arial"/>
          <w:sz w:val="22"/>
        </w:rPr>
        <w:t>)收益的曲线,  列出每日持仓,每日交易和一系列风险数据。</w:t>
      </w:r>
    </w:p>
    <w:p>
      <w:pPr>
        <w:spacing w:before="120" w:after="120" w:line="288" w:lineRule="auto"/>
        <w:ind w:left="0"/>
        <w:jc w:val="left"/>
      </w:pPr>
    </w:p>
    <w:p>
      <w:pPr>
        <w:pStyle w:val="3"/>
        <w:spacing w:before="300" w:after="120" w:line="288" w:lineRule="auto"/>
        <w:ind w:left="0"/>
        <w:jc w:val="left"/>
        <w:outlineLvl w:val="2"/>
      </w:pPr>
      <w:bookmarkStart w:name="heading_28" w:id="28"/>
      <w:r>
        <w:rPr>
          <w:rFonts w:eastAsia="等线" w:ascii="Arial" w:cs="Arial" w:hAnsi="Arial"/>
          <w:b w:val="true"/>
          <w:sz w:val="30"/>
        </w:rPr>
        <w:t>模拟盘注意事项</w:t>
      </w:r>
      <w:bookmarkEnd w:id="28"/>
    </w:p>
    <w:p>
      <w:pPr>
        <w:numPr>
          <w:numId w:val="116"/>
        </w:numPr>
        <w:spacing w:before="120" w:after="120" w:line="288" w:lineRule="auto"/>
        <w:ind w:left="0"/>
        <w:jc w:val="left"/>
      </w:pPr>
      <w:r>
        <w:rPr>
          <w:rFonts w:eastAsia="等线" w:ascii="Arial" w:cs="Arial" w:hAnsi="Arial"/>
          <w:sz w:val="22"/>
        </w:rPr>
        <w:t>模拟交易是根据回测的策略创建的，因此需要先回测，再创建模拟交易，</w:t>
      </w:r>
      <w:hyperlink r:id="rId61">
        <w:r>
          <w:rPr>
            <w:rFonts w:eastAsia="等线" w:ascii="Arial" w:cs="Arial" w:hAnsi="Arial"/>
            <w:color w:val="3370ff"/>
            <w:sz w:val="22"/>
          </w:rPr>
          <w:t>如何创建模拟交易？</w:t>
        </w:r>
      </w:hyperlink>
    </w:p>
    <w:p>
      <w:pPr>
        <w:numPr>
          <w:numId w:val="117"/>
        </w:numPr>
        <w:spacing w:before="120" w:after="120" w:line="288" w:lineRule="auto"/>
        <w:ind w:left="0"/>
        <w:jc w:val="left"/>
      </w:pPr>
      <w:r>
        <w:rPr>
          <w:rFonts w:eastAsia="等线" w:ascii="Arial" w:cs="Arial" w:hAnsi="Arial"/>
          <w:sz w:val="22"/>
        </w:rPr>
        <w:t xml:space="preserve">模拟盘有10s系统延迟, 日志中的时间并非实际时间而是逻辑时间(同回测) ,如需获取实际时间请print(datetime.datetime.now())   </w:t>
      </w:r>
    </w:p>
    <w:p>
      <w:pPr>
        <w:numPr>
          <w:numId w:val="118"/>
        </w:numPr>
        <w:spacing w:before="120" w:after="120" w:line="288" w:lineRule="auto"/>
        <w:ind w:left="0"/>
        <w:jc w:val="left"/>
      </w:pPr>
      <w:r>
        <w:rPr>
          <w:rFonts w:eastAsia="等线" w:ascii="Arial" w:cs="Arial" w:hAnsi="Arial"/>
          <w:sz w:val="22"/>
        </w:rPr>
        <w:t xml:space="preserve">模拟盘进程启动时,可能存在两三分钟内的延迟   </w:t>
      </w:r>
    </w:p>
    <w:p>
      <w:pPr>
        <w:numPr>
          <w:numId w:val="119"/>
        </w:numPr>
        <w:spacing w:before="120" w:after="120" w:line="288" w:lineRule="auto"/>
        <w:ind w:left="0"/>
        <w:jc w:val="left"/>
      </w:pPr>
      <w:r>
        <w:rPr>
          <w:rFonts w:eastAsia="等线" w:ascii="Arial" w:cs="Arial" w:hAnsi="Arial"/>
          <w:sz w:val="22"/>
        </w:rPr>
        <w:t>为了避免以不合理的价格对标的进行下单，模拟盘在下单时会检查开盘（例如股票为9:25）到下单时刻的累积成交量，若为0则会拒绝，提示：WARNING - 该标的截至到目前成交量为0 ，暂时无法成交。</w:t>
      </w:r>
    </w:p>
    <w:p>
      <w:pPr>
        <w:numPr>
          <w:numId w:val="120"/>
        </w:numPr>
        <w:spacing w:before="120" w:after="120" w:line="288" w:lineRule="auto"/>
        <w:ind w:left="0"/>
        <w:jc w:val="left"/>
      </w:pPr>
      <w:r>
        <w:rPr>
          <w:rFonts w:eastAsia="等线" w:ascii="Arial" w:cs="Arial" w:hAnsi="Arial"/>
          <w:sz w:val="22"/>
        </w:rPr>
        <w:t>模拟盘中因尽量避免在距离开盘时间较早的时间点进行下单, 比如9点以前对股票下单，可能导致当时还没有拿到涨跌停价而产生比较异常的委托甚至委托失败。</w:t>
      </w:r>
    </w:p>
    <w:p>
      <w:pPr>
        <w:numPr>
          <w:numId w:val="121"/>
        </w:numPr>
        <w:spacing w:before="120" w:after="120" w:line="288" w:lineRule="auto"/>
        <w:ind w:left="0"/>
        <w:jc w:val="left"/>
      </w:pPr>
      <w:r>
        <w:rPr>
          <w:rFonts w:eastAsia="等线" w:ascii="Arial" w:cs="Arial" w:hAnsi="Arial"/>
          <w:sz w:val="22"/>
        </w:rPr>
        <w:t>在日级模拟中使用时，使用handle_data或者run_daily中time='9:30'，策略的实际运行时间是9:27~9:30之间；股指期货在9:27~9:30之间有可能没有产生集合竞价，会出现9:30下单提示</w:t>
      </w:r>
      <w:r>
        <w:rPr>
          <w:rFonts w:eastAsia="等线" w:ascii="Arial" w:cs="Arial" w:hAnsi="Arial"/>
          <w:b w:val="true"/>
          <w:sz w:val="22"/>
        </w:rPr>
        <w:t>该标的截至到目前成交量为0</w:t>
      </w:r>
      <w:r>
        <w:rPr>
          <w:rFonts w:eastAsia="等线" w:ascii="Arial" w:cs="Arial" w:hAnsi="Arial"/>
          <w:sz w:val="22"/>
        </w:rPr>
        <w:t>，可以忽略或者在9:31及之后运行；</w:t>
      </w:r>
    </w:p>
    <w:p>
      <w:pPr>
        <w:numPr>
          <w:numId w:val="122"/>
        </w:numPr>
        <w:spacing w:before="120" w:after="120" w:line="288" w:lineRule="auto"/>
        <w:ind w:left="0"/>
        <w:jc w:val="left"/>
      </w:pPr>
      <w:r>
        <w:rPr>
          <w:rFonts w:eastAsia="等线" w:ascii="Arial" w:cs="Arial" w:hAnsi="Arial"/>
          <w:sz w:val="22"/>
        </w:rPr>
        <w:t>模拟盘在每天运行结束后会保存状态, 结束进程(相当于休眠). 然后在第二天恢复.</w:t>
      </w:r>
    </w:p>
    <w:p>
      <w:pPr>
        <w:numPr>
          <w:numId w:val="123"/>
        </w:numPr>
        <w:spacing w:before="120" w:after="120" w:line="288" w:lineRule="auto"/>
        <w:ind w:left="0"/>
        <w:jc w:val="left"/>
      </w:pPr>
      <w:r>
        <w:rPr>
          <w:rFonts w:eastAsia="等线" w:ascii="Arial" w:cs="Arial" w:hAnsi="Arial"/>
          <w:sz w:val="22"/>
        </w:rPr>
        <w:t>进程结束时会保存这些状态:</w:t>
      </w:r>
    </w:p>
    <w:p>
      <w:pPr>
        <w:numPr>
          <w:numId w:val="124"/>
        </w:numPr>
        <w:spacing w:before="120" w:after="120" w:line="288" w:lineRule="auto"/>
        <w:ind w:left="453"/>
        <w:jc w:val="left"/>
      </w:pPr>
      <w:r>
        <w:rPr>
          <w:rFonts w:eastAsia="等线" w:ascii="Arial" w:cs="Arial" w:hAnsi="Arial"/>
          <w:sz w:val="22"/>
        </w:rPr>
        <w:t>用户账户, 持仓</w:t>
      </w:r>
    </w:p>
    <w:p>
      <w:pPr>
        <w:numPr>
          <w:numId w:val="125"/>
        </w:numPr>
        <w:spacing w:before="120" w:after="120" w:line="288" w:lineRule="auto"/>
        <w:ind w:left="453"/>
        <w:jc w:val="left"/>
      </w:pPr>
      <w:r>
        <w:rPr>
          <w:rFonts w:eastAsia="等线" w:ascii="Arial" w:cs="Arial" w:hAnsi="Arial"/>
          <w:sz w:val="22"/>
        </w:rPr>
        <w:t xml:space="preserve">使用 pickle 保存 </w:t>
      </w:r>
      <w:hyperlink r:id="rId62">
        <w:r>
          <w:rPr>
            <w:rFonts w:eastAsia="等线" w:ascii="Arial" w:cs="Arial" w:hAnsi="Arial"/>
            <w:color w:val="3370ff"/>
            <w:sz w:val="22"/>
          </w:rPr>
          <w:t>g</w:t>
        </w:r>
      </w:hyperlink>
      <w:r>
        <w:rPr>
          <w:rFonts w:eastAsia="等线" w:ascii="Arial" w:cs="Arial" w:hAnsi="Arial"/>
          <w:sz w:val="22"/>
        </w:rPr>
        <w:t xml:space="preserve"> 对象. 注意</w:t>
      </w:r>
    </w:p>
    <w:p>
      <w:pPr>
        <w:numPr>
          <w:numId w:val="126"/>
        </w:numPr>
        <w:spacing w:before="120" w:after="120" w:line="288" w:lineRule="auto"/>
        <w:ind w:left="907"/>
        <w:jc w:val="left"/>
      </w:pPr>
      <w:r>
        <w:rPr>
          <w:rFonts w:eastAsia="等线" w:ascii="Arial" w:cs="Arial" w:hAnsi="Arial"/>
          <w:sz w:val="22"/>
        </w:rPr>
        <w:t>g 中以 '__' 开头的变量将被忽略, 不会被保存</w:t>
      </w:r>
    </w:p>
    <w:p>
      <w:pPr>
        <w:numPr>
          <w:numId w:val="127"/>
        </w:numPr>
        <w:spacing w:before="120" w:after="120" w:line="288" w:lineRule="auto"/>
        <w:ind w:left="907"/>
        <w:jc w:val="left"/>
      </w:pPr>
      <w:r>
        <w:rPr>
          <w:rFonts w:eastAsia="等线" w:ascii="Arial" w:cs="Arial" w:hAnsi="Arial"/>
          <w:sz w:val="22"/>
        </w:rPr>
        <w:t>g 中不能序列化的变量不会被保存, 重启后会不存在. 如果你写了如下的代码:</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def initialize(context):</w:t>
              <w:br/>
            </w:r>
            <w:r>
              <w:rPr>
                <w:rFonts w:eastAsia="Consolas" w:ascii="Consolas" w:cs="Consolas" w:hAnsi="Consolas"/>
                <w:sz w:val="22"/>
              </w:rPr>
              <w:t xml:space="preserve">    g.query = query(valuation)</w:t>
            </w:r>
          </w:p>
        </w:tc>
      </w:tr>
    </w:tbl>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def process_initialize(context):</w:t>
              <w:br/>
            </w:r>
            <w:r>
              <w:rPr>
                <w:rFonts w:eastAsia="Consolas" w:ascii="Consolas" w:cs="Consolas" w:hAnsi="Consolas"/>
                <w:sz w:val="22"/>
              </w:rPr>
              <w:t xml:space="preserve">    g.__query = query(valuation)</w:t>
            </w:r>
          </w:p>
        </w:tc>
      </w:tr>
    </w:tbl>
    <w:p>
      <w:pPr>
        <w:numPr>
          <w:numId w:val="128"/>
        </w:numPr>
        <w:spacing w:before="120" w:after="120" w:line="288" w:lineRule="auto"/>
        <w:ind w:left="453"/>
        <w:jc w:val="left"/>
      </w:pPr>
      <w:r>
        <w:rPr>
          <w:rFonts w:eastAsia="等线" w:ascii="Arial" w:cs="Arial" w:hAnsi="Arial"/>
          <w:sz w:val="22"/>
        </w:rPr>
        <w:t xml:space="preserve">使用 pickle保存 </w:t>
      </w:r>
      <w:hyperlink r:id="rId63">
        <w:r>
          <w:rPr>
            <w:rFonts w:eastAsia="等线" w:ascii="Arial" w:cs="Arial" w:hAnsi="Arial"/>
            <w:color w:val="3370ff"/>
            <w:sz w:val="22"/>
          </w:rPr>
          <w:t>context</w:t>
        </w:r>
      </w:hyperlink>
      <w:r>
        <w:rPr>
          <w:rFonts w:eastAsia="等线" w:ascii="Arial" w:cs="Arial" w:hAnsi="Arial"/>
          <w:sz w:val="22"/>
        </w:rPr>
        <w:t xml:space="preserve"> 对象, 处理方式跟 </w:t>
      </w:r>
      <w:hyperlink r:id="rId64">
        <w:r>
          <w:rPr>
            <w:rFonts w:eastAsia="等线" w:ascii="Arial" w:cs="Arial" w:hAnsi="Arial"/>
            <w:color w:val="3370ff"/>
            <w:sz w:val="22"/>
          </w:rPr>
          <w:t>g</w:t>
        </w:r>
      </w:hyperlink>
      <w:r>
        <w:rPr>
          <w:rFonts w:eastAsia="等线" w:ascii="Arial" w:cs="Arial" w:hAnsi="Arial"/>
          <w:sz w:val="22"/>
        </w:rPr>
        <w:t xml:space="preserve"> 一样</w:t>
      </w:r>
    </w:p>
    <w:p>
      <w:pPr>
        <w:numPr>
          <w:numId w:val="129"/>
        </w:numPr>
        <w:spacing w:before="120" w:after="120" w:line="288" w:lineRule="auto"/>
        <w:ind w:left="453"/>
        <w:jc w:val="left"/>
      </w:pPr>
      <w:r>
        <w:rPr>
          <w:rFonts w:eastAsia="等线" w:ascii="Arial" w:cs="Arial" w:hAnsi="Arial"/>
          <w:sz w:val="22"/>
        </w:rPr>
        <w:t>为了防止恶意攻击, 序列化之后的状态大小不能超过 30M, 如果超出将在保存状态时运行失败. 当超过 20M 时日志中会有警告提示, 请注意日志.</w:t>
      </w:r>
    </w:p>
    <w:p>
      <w:pPr>
        <w:numPr>
          <w:numId w:val="130"/>
        </w:numPr>
        <w:spacing w:before="120" w:after="120" w:line="288" w:lineRule="auto"/>
        <w:ind w:left="0"/>
        <w:jc w:val="left"/>
      </w:pPr>
      <w:r>
        <w:rPr>
          <w:rFonts w:eastAsia="等线" w:ascii="Arial" w:cs="Arial" w:hAnsi="Arial"/>
          <w:sz w:val="22"/>
        </w:rPr>
        <w:t>恢复过程是这样的:</w:t>
      </w:r>
    </w:p>
    <w:p>
      <w:pPr>
        <w:numPr>
          <w:numId w:val="131"/>
        </w:numPr>
        <w:spacing w:before="120" w:after="120" w:line="288" w:lineRule="auto"/>
        <w:ind w:left="453"/>
        <w:jc w:val="left"/>
      </w:pPr>
      <w:r>
        <w:rPr>
          <w:rFonts w:eastAsia="等线" w:ascii="Arial" w:cs="Arial" w:hAnsi="Arial"/>
          <w:sz w:val="22"/>
        </w:rPr>
        <w:t>加载策略代码, 因为python是动态语言, 编译即运行, 所以全局的(在函数外写的)代码会被执行一遍.</w:t>
      </w:r>
    </w:p>
    <w:p>
      <w:pPr>
        <w:numPr>
          <w:numId w:val="132"/>
        </w:numPr>
        <w:spacing w:before="120" w:after="120" w:line="288" w:lineRule="auto"/>
        <w:ind w:left="453"/>
        <w:jc w:val="left"/>
      </w:pPr>
      <w:r>
        <w:rPr>
          <w:rFonts w:eastAsia="等线" w:ascii="Arial" w:cs="Arial" w:hAnsi="Arial"/>
          <w:sz w:val="22"/>
        </w:rPr>
        <w:t xml:space="preserve">使用保存的状态恢复 </w:t>
      </w:r>
      <w:hyperlink r:id="rId65">
        <w:r>
          <w:rPr>
            <w:rFonts w:eastAsia="等线" w:ascii="Arial" w:cs="Arial" w:hAnsi="Arial"/>
            <w:color w:val="3370ff"/>
            <w:sz w:val="22"/>
          </w:rPr>
          <w:t>g</w:t>
        </w:r>
      </w:hyperlink>
      <w:r>
        <w:rPr>
          <w:rFonts w:eastAsia="等线" w:ascii="Arial" w:cs="Arial" w:hAnsi="Arial"/>
          <w:sz w:val="22"/>
        </w:rPr>
        <w:t xml:space="preserve">, </w:t>
      </w:r>
      <w:hyperlink r:id="rId66">
        <w:r>
          <w:rPr>
            <w:rFonts w:eastAsia="等线" w:ascii="Arial" w:cs="Arial" w:hAnsi="Arial"/>
            <w:color w:val="3370ff"/>
            <w:sz w:val="22"/>
          </w:rPr>
          <w:t>context</w:t>
        </w:r>
      </w:hyperlink>
      <w:r>
        <w:rPr>
          <w:rFonts w:eastAsia="等线" w:ascii="Arial" w:cs="Arial" w:hAnsi="Arial"/>
          <w:sz w:val="22"/>
        </w:rPr>
        <w:t>, 和函数外定义的全局变量.</w:t>
      </w:r>
    </w:p>
    <w:p>
      <w:pPr>
        <w:numPr>
          <w:numId w:val="133"/>
        </w:numPr>
        <w:spacing w:before="120" w:after="120" w:line="288" w:lineRule="auto"/>
        <w:ind w:left="453"/>
        <w:jc w:val="left"/>
      </w:pPr>
      <w:r>
        <w:rPr>
          <w:rFonts w:eastAsia="等线" w:ascii="Arial" w:cs="Arial" w:hAnsi="Arial"/>
          <w:sz w:val="22"/>
        </w:rPr>
        <w:t>如果策略代码和上一次运行时发生了修改，而且代码中定义了 after_code_changed 函数，则会运行 after_code_changed(#after_code_changed) 函数。</w:t>
      </w:r>
    </w:p>
    <w:p>
      <w:pPr>
        <w:numPr>
          <w:numId w:val="134"/>
        </w:numPr>
        <w:spacing w:before="120" w:after="120" w:line="288" w:lineRule="auto"/>
        <w:ind w:left="453"/>
        <w:jc w:val="left"/>
      </w:pPr>
      <w:r>
        <w:rPr>
          <w:rFonts w:eastAsia="等线" w:ascii="Arial" w:cs="Arial" w:hAnsi="Arial"/>
          <w:sz w:val="22"/>
        </w:rPr>
        <w:t xml:space="preserve">执行 </w:t>
      </w:r>
      <w:hyperlink r:id="rId67">
        <w:r>
          <w:rPr>
            <w:rFonts w:eastAsia="等线" w:ascii="Arial" w:cs="Arial" w:hAnsi="Arial"/>
            <w:color w:val="3370ff"/>
            <w:sz w:val="22"/>
          </w:rPr>
          <w:t>process_initialize</w:t>
        </w:r>
      </w:hyperlink>
      <w:r>
        <w:rPr>
          <w:rFonts w:eastAsia="等线" w:ascii="Arial" w:cs="Arial" w:hAnsi="Arial"/>
          <w:sz w:val="22"/>
        </w:rPr>
        <w:t>, 每次启动时都会执行这个函数.</w:t>
      </w:r>
    </w:p>
    <w:p>
      <w:pPr>
        <w:numPr>
          <w:numId w:val="135"/>
        </w:numPr>
        <w:spacing w:before="120" w:after="120" w:line="288" w:lineRule="auto"/>
        <w:ind w:left="0"/>
        <w:jc w:val="left"/>
      </w:pPr>
      <w:r>
        <w:rPr>
          <w:rFonts w:eastAsia="等线" w:ascii="Arial" w:cs="Arial" w:hAnsi="Arial"/>
          <w:sz w:val="22"/>
        </w:rPr>
        <w:t xml:space="preserve">重启后不再执行 </w:t>
      </w:r>
      <w:hyperlink r:id="rId68">
        <w:r>
          <w:rPr>
            <w:rFonts w:eastAsia="等线" w:ascii="Arial" w:cs="Arial" w:hAnsi="Arial"/>
            <w:color w:val="3370ff"/>
            <w:sz w:val="22"/>
          </w:rPr>
          <w:t>initialize</w:t>
        </w:r>
      </w:hyperlink>
      <w:r>
        <w:rPr>
          <w:rFonts w:eastAsia="等线" w:ascii="Arial" w:cs="Arial" w:hAnsi="Arial"/>
          <w:sz w:val="22"/>
        </w:rPr>
        <w:t xml:space="preserve"> 函数, </w:t>
      </w:r>
      <w:hyperlink r:id="rId69">
        <w:r>
          <w:rPr>
            <w:rFonts w:eastAsia="等线" w:ascii="Arial" w:cs="Arial" w:hAnsi="Arial"/>
            <w:color w:val="3370ff"/>
            <w:sz w:val="22"/>
          </w:rPr>
          <w:t>initialize</w:t>
        </w:r>
      </w:hyperlink>
      <w:r>
        <w:rPr>
          <w:rFonts w:eastAsia="等线" w:ascii="Arial" w:cs="Arial" w:hAnsi="Arial"/>
          <w:sz w:val="22"/>
        </w:rPr>
        <w:t xml:space="preserve"> 函数在整个模拟盘的生命周期中只执行一次. 即使是更改回测后, </w:t>
      </w:r>
      <w:hyperlink r:id="rId70">
        <w:r>
          <w:rPr>
            <w:rFonts w:eastAsia="等线" w:ascii="Arial" w:cs="Arial" w:hAnsi="Arial"/>
            <w:color w:val="3370ff"/>
            <w:sz w:val="22"/>
          </w:rPr>
          <w:t>initialize</w:t>
        </w:r>
      </w:hyperlink>
      <w:r>
        <w:rPr>
          <w:rFonts w:eastAsia="等线" w:ascii="Arial" w:cs="Arial" w:hAnsi="Arial"/>
          <w:sz w:val="22"/>
        </w:rPr>
        <w:t xml:space="preserve"> 也不会执行.</w:t>
      </w:r>
    </w:p>
    <w:p>
      <w:pPr>
        <w:numPr>
          <w:numId w:val="136"/>
        </w:numPr>
        <w:spacing w:before="120" w:after="120" w:line="288" w:lineRule="auto"/>
        <w:ind w:left="0"/>
        <w:jc w:val="left"/>
      </w:pPr>
      <w:r>
        <w:rPr>
          <w:rFonts w:eastAsia="等线" w:ascii="Arial" w:cs="Arial" w:hAnsi="Arial"/>
          <w:sz w:val="22"/>
        </w:rPr>
        <w:t xml:space="preserve">模拟盘更改回测之后上述的全局变量(包括 g 和 context 中保存的)不会丢失. 新代码中 </w:t>
      </w:r>
      <w:hyperlink r:id="rId71">
        <w:r>
          <w:rPr>
            <w:rFonts w:eastAsia="等线" w:ascii="Arial" w:cs="Arial" w:hAnsi="Arial"/>
            <w:color w:val="3370ff"/>
            <w:sz w:val="22"/>
          </w:rPr>
          <w:t>initialize</w:t>
        </w:r>
      </w:hyperlink>
      <w:r>
        <w:rPr>
          <w:rFonts w:eastAsia="等线" w:ascii="Arial" w:cs="Arial" w:hAnsi="Arial"/>
          <w:sz w:val="22"/>
        </w:rPr>
        <w:t xml:space="preserve"> 不会执行. 如果需要修改原来的值, 可以在 </w:t>
      </w:r>
      <w:hyperlink r:id="rId72">
        <w:r>
          <w:rPr>
            <w:rFonts w:eastAsia="等线" w:ascii="Arial" w:cs="Arial" w:hAnsi="Arial"/>
            <w:color w:val="3370ff"/>
            <w:sz w:val="22"/>
          </w:rPr>
          <w:t>after_code_changed</w:t>
        </w:r>
      </w:hyperlink>
      <w:r>
        <w:rPr>
          <w:rFonts w:eastAsia="等线" w:ascii="Arial" w:cs="Arial" w:hAnsi="Arial"/>
          <w:sz w:val="22"/>
        </w:rPr>
        <w:t xml:space="preserve"> 函数里面修改, 比如, 原来代码是: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def initialize(context):</w:t>
              <w:br/>
            </w:r>
            <w:r>
              <w:rPr>
                <w:rFonts w:eastAsia="Consolas" w:ascii="Consolas" w:cs="Consolas" w:hAnsi="Consolas"/>
                <w:sz w:val="22"/>
              </w:rPr>
              <w:t xml:space="preserve">    g.stock = '000001.XSHE'</w:t>
            </w:r>
          </w:p>
        </w:tc>
      </w:tr>
    </w:tbl>
    <w:p>
      <w:pPr>
        <w:numPr>
          <w:numId w:val="137"/>
        </w:numPr>
        <w:spacing w:before="120" w:after="120" w:line="288" w:lineRule="auto"/>
        <w:ind w:left="0"/>
        <w:jc w:val="left"/>
      </w:pPr>
      <w:r>
        <w:rPr>
          <w:rFonts w:eastAsia="等线" w:ascii="Arial" w:cs="Arial" w:hAnsi="Arial"/>
          <w:sz w:val="22"/>
        </w:rPr>
        <w:t>代码改成: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def initialize(context):</w:t>
              <w:br/>
            </w:r>
            <w:r>
              <w:rPr>
                <w:rFonts w:eastAsia="Consolas" w:ascii="Consolas" w:cs="Consolas" w:hAnsi="Consolas"/>
                <w:sz w:val="22"/>
              </w:rPr>
              <w:t xml:space="preserve">    g.stock = '000002.XSHE'</w:t>
            </w:r>
          </w:p>
        </w:tc>
      </w:tr>
    </w:tbl>
    <w:p>
      <w:pPr>
        <w:numPr>
          <w:numId w:val="138"/>
        </w:numPr>
        <w:spacing w:before="120" w:after="120" w:line="288" w:lineRule="auto"/>
        <w:ind w:left="0"/>
        <w:jc w:val="left"/>
      </w:pPr>
      <w:r>
        <w:rPr>
          <w:rFonts w:eastAsia="等线" w:ascii="Arial" w:cs="Arial" w:hAnsi="Arial"/>
          <w:sz w:val="22"/>
        </w:rPr>
        <w:t xml:space="preserve">执行时, g.stock 仍然是 '000001.XSHE', 要修改他们的值, 必须定义 </w:t>
      </w:r>
      <w:hyperlink r:id="rId73">
        <w:r>
          <w:rPr>
            <w:rFonts w:eastAsia="等线" w:ascii="Arial" w:cs="Arial" w:hAnsi="Arial"/>
            <w:color w:val="3370ff"/>
            <w:sz w:val="22"/>
          </w:rPr>
          <w:t>after_code_changed</w:t>
        </w:r>
      </w:hyperlink>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def after_code_changed(context):</w:t>
              <w:br/>
            </w:r>
            <w:r>
              <w:rPr>
                <w:rFonts w:eastAsia="Consolas" w:ascii="Consolas" w:cs="Consolas" w:hAnsi="Consolas"/>
                <w:sz w:val="22"/>
              </w:rPr>
              <w:t xml:space="preserve">    g.stock = '000002.XSHE'</w:t>
            </w:r>
          </w:p>
        </w:tc>
      </w:tr>
    </w:tbl>
    <w:p>
      <w:pPr>
        <w:numPr>
          <w:numId w:val="139"/>
        </w:numPr>
        <w:spacing w:before="120" w:after="120" w:line="288" w:lineRule="auto"/>
        <w:ind w:left="0"/>
        <w:jc w:val="left"/>
      </w:pPr>
      <w:r>
        <w:rPr>
          <w:rFonts w:eastAsia="等线" w:ascii="Arial" w:cs="Arial" w:hAnsi="Arial"/>
          <w:sz w:val="22"/>
        </w:rPr>
        <w:t>创建模拟交易时, 如果选择的日期是今天, 则从今天当前时间点开始运行, 应该在当前时间点之前运行的函数不再运行. 比如: 今天10:00创建了</w:t>
      </w:r>
      <w:r>
        <w:rPr>
          <w:rFonts w:eastAsia="等线" w:ascii="Arial" w:cs="Arial" w:hAnsi="Arial"/>
          <w:b w:val="true"/>
          <w:sz w:val="22"/>
        </w:rPr>
        <w:t>按天</w:t>
      </w:r>
      <w:r>
        <w:rPr>
          <w:rFonts w:eastAsia="等线" w:ascii="Arial" w:cs="Arial" w:hAnsi="Arial"/>
          <w:sz w:val="22"/>
        </w:rPr>
        <w:t>的模拟交易, 选择日期是今天, 代码中实现了 handle_data 和 after_trading_end, 则 handle_data 今天不运行, 而 after_trading_end 会在 15:30 运行</w:t>
      </w:r>
    </w:p>
    <w:p>
      <w:pPr>
        <w:numPr>
          <w:numId w:val="140"/>
        </w:numPr>
        <w:spacing w:before="120" w:after="120" w:line="288" w:lineRule="auto"/>
        <w:ind w:left="0"/>
        <w:jc w:val="left"/>
      </w:pPr>
      <w:r>
        <w:rPr>
          <w:rFonts w:eastAsia="等线" w:ascii="Arial" w:cs="Arial" w:hAnsi="Arial"/>
          <w:sz w:val="22"/>
        </w:rPr>
        <w:t>当模拟交易在A时间点失败后, 然后在B时间点"重跑", 那么 A-B 之间的时间点应该运行的函数不再运行</w:t>
      </w:r>
    </w:p>
    <w:p>
      <w:pPr>
        <w:numPr>
          <w:numId w:val="141"/>
        </w:numPr>
        <w:spacing w:before="120" w:after="120" w:line="288" w:lineRule="auto"/>
        <w:ind w:left="0"/>
        <w:jc w:val="left"/>
      </w:pPr>
      <w:r>
        <w:rPr>
          <w:rFonts w:eastAsia="等线" w:ascii="Arial" w:cs="Arial" w:hAnsi="Arial"/>
          <w:sz w:val="22"/>
        </w:rPr>
        <w:t>因为模拟盘资源有限, 为了防止用户创建之后长期搁置浪费资源, 我们做出如下限制: 如果满足下面条件, 则暂缓运行:</w:t>
      </w:r>
    </w:p>
    <w:p>
      <w:pPr>
        <w:numPr>
          <w:numId w:val="142"/>
        </w:numPr>
        <w:spacing w:before="120" w:after="120" w:line="288" w:lineRule="auto"/>
        <w:ind w:left="453"/>
        <w:jc w:val="left"/>
      </w:pPr>
      <w:r>
        <w:rPr>
          <w:rFonts w:eastAsia="等线" w:ascii="Arial" w:cs="Arial" w:hAnsi="Arial"/>
          <w:sz w:val="22"/>
        </w:rPr>
        <w:t>延时模拟盘 , 所有者在最近一个月内没有访问过聚宽网站</w:t>
      </w:r>
    </w:p>
    <w:p>
      <w:pPr>
        <w:numPr>
          <w:numId w:val="143"/>
        </w:numPr>
        <w:spacing w:before="120" w:after="120" w:line="288" w:lineRule="auto"/>
        <w:ind w:left="453"/>
        <w:jc w:val="left"/>
      </w:pPr>
      <w:r>
        <w:rPr>
          <w:rFonts w:eastAsia="等线" w:ascii="Arial" w:cs="Arial" w:hAnsi="Arial"/>
          <w:sz w:val="22"/>
        </w:rPr>
        <w:t>实时模拟盘 , 所有者在最近三个月内没有访问过聚宽网站</w:t>
      </w:r>
    </w:p>
    <w:p>
      <w:pPr>
        <w:numPr>
          <w:numId w:val="144"/>
        </w:numPr>
        <w:spacing w:before="120" w:after="120" w:line="288" w:lineRule="auto"/>
        <w:ind w:left="0"/>
        <w:jc w:val="left"/>
      </w:pPr>
      <w:r>
        <w:rPr>
          <w:rFonts w:eastAsia="等线" w:ascii="Arial" w:cs="Arial" w:hAnsi="Arial"/>
          <w:sz w:val="22"/>
        </w:rPr>
        <w:t>当用户重新使用网站后, 第二天会继续运行(会把之前的交易日执行一遍, 并不会跳过日期)</w:t>
      </w:r>
    </w:p>
    <w:p>
      <w:pPr>
        <w:numPr>
          <w:numId w:val="145"/>
        </w:numPr>
        <w:spacing w:before="120" w:after="120" w:line="288" w:lineRule="auto"/>
        <w:ind w:left="0"/>
        <w:jc w:val="left"/>
      </w:pPr>
      <w:r>
        <w:rPr>
          <w:rFonts w:eastAsia="等线" w:ascii="Arial" w:cs="Arial" w:hAnsi="Arial"/>
          <w:sz w:val="22"/>
        </w:rPr>
        <w:t>由于模拟盘资源有限及防止恶意攻击, 我们设置：（1）模拟交易序列化之后的状态大小不能超过 30M；（2）每个函数运行时间不能超过1800s；（3）进程占用内存不能超过3G。如果日志中出现这样的提示或者模拟交易因此提示而失败的话，请优化策略，具体的参考</w:t>
      </w:r>
      <w:hyperlink r:id="rId74">
        <w:r>
          <w:rPr>
            <w:rFonts w:eastAsia="等线" w:ascii="Arial" w:cs="Arial" w:hAnsi="Arial"/>
            <w:color w:val="3370ff"/>
            <w:sz w:val="22"/>
          </w:rPr>
          <w:t>常见Bug或者警告解决方法</w:t>
        </w:r>
      </w:hyperlink>
      <w:r>
        <w:rPr>
          <w:rFonts w:eastAsia="等线" w:ascii="Arial" w:cs="Arial" w:hAnsi="Arial"/>
          <w:sz w:val="22"/>
        </w:rPr>
        <w:t>。</w:t>
      </w:r>
    </w:p>
    <w:p>
      <w:pPr>
        <w:numPr>
          <w:numId w:val="146"/>
        </w:numPr>
        <w:spacing w:before="120" w:after="120" w:line="288" w:lineRule="auto"/>
        <w:ind w:left="0"/>
        <w:jc w:val="left"/>
      </w:pPr>
      <w:r>
        <w:rPr>
          <w:rFonts w:eastAsia="等线" w:ascii="Arial" w:cs="Arial" w:hAnsi="Arial"/>
          <w:sz w:val="22"/>
        </w:rPr>
        <w:t xml:space="preserve">强烈建议模拟盘使用真实价格成交, 即调用 </w:t>
      </w:r>
      <w:r>
        <w:rPr>
          <w:rFonts w:eastAsia="Consolas" w:ascii="Consolas" w:cs="Consolas" w:hAnsi="Consolas"/>
          <w:sz w:val="22"/>
          <w:shd w:fill="EFF0F1"/>
        </w:rPr>
        <w:t>set_option('use_real_price', True)</w:t>
      </w:r>
      <w:r>
        <w:rPr>
          <w:rFonts w:eastAsia="等线" w:ascii="Arial" w:cs="Arial" w:hAnsi="Arial"/>
          <w:sz w:val="22"/>
        </w:rPr>
        <w:t xml:space="preserve">. </w:t>
      </w:r>
      <w:hyperlink r:id="rId75">
        <w:r>
          <w:rPr>
            <w:rFonts w:eastAsia="等线" w:ascii="Arial" w:cs="Arial" w:hAnsi="Arial"/>
            <w:color w:val="3370ff"/>
            <w:sz w:val="22"/>
          </w:rPr>
          <w:t>更多细节</w:t>
        </w:r>
      </w:hyperlink>
    </w:p>
    <w:p>
      <w:pPr>
        <w:numPr>
          <w:numId w:val="147"/>
        </w:numPr>
        <w:spacing w:before="120" w:after="120" w:line="288" w:lineRule="auto"/>
        <w:ind w:left="0"/>
        <w:jc w:val="left"/>
      </w:pPr>
      <w:hyperlink r:id="rId76">
        <w:r>
          <w:rPr>
            <w:rFonts w:eastAsia="等线" w:ascii="Arial" w:cs="Arial" w:hAnsi="Arial"/>
            <w:color w:val="3370ff"/>
            <w:sz w:val="22"/>
          </w:rPr>
          <w:t>模拟交易替换代码参考教程</w:t>
        </w:r>
      </w:hyperlink>
    </w:p>
    <w:p>
      <w:pPr>
        <w:numPr>
          <w:numId w:val="148"/>
        </w:numPr>
        <w:spacing w:before="120" w:after="120" w:line="288" w:lineRule="auto"/>
        <w:ind w:left="0"/>
        <w:jc w:val="left"/>
      </w:pPr>
      <w:r>
        <w:rPr>
          <w:rFonts w:eastAsia="等线" w:ascii="Arial" w:cs="Arial" w:hAnsi="Arial"/>
          <w:sz w:val="22"/>
        </w:rPr>
        <w:t>替换代码时，版本模拟交易和回测的版本需要对应，python2(python3)版本的模拟交易不能使用python3(python2)版本的回测替换</w:t>
      </w:r>
    </w:p>
    <w:p>
      <w:pPr>
        <w:spacing w:before="120" w:after="120" w:line="288" w:lineRule="auto"/>
        <w:ind w:left="0"/>
        <w:jc w:val="left"/>
      </w:pPr>
    </w:p>
    <w:p>
      <w:pPr>
        <w:pStyle w:val="3"/>
        <w:spacing w:before="300" w:after="120" w:line="288" w:lineRule="auto"/>
        <w:ind w:left="0"/>
        <w:jc w:val="left"/>
        <w:outlineLvl w:val="2"/>
      </w:pPr>
      <w:bookmarkStart w:name="heading_29" w:id="29"/>
      <w:r>
        <w:rPr>
          <w:rFonts w:eastAsia="等线" w:ascii="Arial" w:cs="Arial" w:hAnsi="Arial"/>
          <w:b w:val="true"/>
          <w:sz w:val="30"/>
        </w:rPr>
        <w:t>模拟交易和回测的差别</w:t>
      </w:r>
      <w:bookmarkEnd w:id="29"/>
    </w:p>
    <w:p>
      <w:pPr>
        <w:spacing w:before="120" w:after="120" w:line="288" w:lineRule="auto"/>
        <w:ind w:left="0"/>
        <w:jc w:val="left"/>
      </w:pPr>
      <w:r>
        <w:rPr>
          <w:rFonts w:eastAsia="等线" w:ascii="Arial" w:cs="Arial" w:hAnsi="Arial"/>
          <w:sz w:val="22"/>
        </w:rPr>
        <w:t>比较的前提是策略、起始资金、时间区间及频率等完全一致。模拟交易现在和回测还是有些微小的差别, 具体原因如下:</w:t>
      </w:r>
    </w:p>
    <w:p>
      <w:pPr>
        <w:numPr>
          <w:numId w:val="149"/>
        </w:numPr>
        <w:spacing w:before="120" w:after="120" w:line="288" w:lineRule="auto"/>
        <w:ind w:left="0"/>
        <w:jc w:val="left"/>
      </w:pPr>
      <w:r>
        <w:rPr>
          <w:rFonts w:eastAsia="等线" w:ascii="Arial" w:cs="Arial" w:hAnsi="Arial"/>
          <w:sz w:val="22"/>
        </w:rPr>
        <w:t>策略运行的环境如果不相同的话，可能导致不同，例如Python2和Python3，聚宽官网和一创聚宽;</w:t>
      </w:r>
    </w:p>
    <w:p>
      <w:pPr>
        <w:numPr>
          <w:numId w:val="150"/>
        </w:numPr>
        <w:spacing w:before="120" w:after="120" w:line="288" w:lineRule="auto"/>
        <w:ind w:left="0"/>
        <w:jc w:val="left"/>
      </w:pPr>
      <w:r>
        <w:rPr>
          <w:rFonts w:eastAsia="等线" w:ascii="Arial" w:cs="Arial" w:hAnsi="Arial"/>
          <w:sz w:val="22"/>
        </w:rPr>
        <w:t>策略中有随机因素，例如：使用随机数、不稳定的排序、遍历 dict中的元素等；</w:t>
      </w:r>
    </w:p>
    <w:p>
      <w:pPr>
        <w:numPr>
          <w:numId w:val="151"/>
        </w:numPr>
        <w:spacing w:before="120" w:after="120" w:line="288" w:lineRule="auto"/>
        <w:ind w:left="0"/>
        <w:jc w:val="left"/>
      </w:pPr>
      <w:r>
        <w:rPr>
          <w:rFonts w:eastAsia="等线" w:ascii="Arial" w:cs="Arial" w:hAnsi="Arial"/>
          <w:sz w:val="22"/>
        </w:rPr>
        <w:t>回测的策略使用了未来数据，例如开盘前获取当天的收盘价、财务数据、技术指标等；</w:t>
      </w:r>
    </w:p>
    <w:p>
      <w:pPr>
        <w:numPr>
          <w:numId w:val="152"/>
        </w:numPr>
        <w:spacing w:before="120" w:after="120" w:line="288" w:lineRule="auto"/>
        <w:ind w:left="0"/>
        <w:jc w:val="left"/>
      </w:pPr>
      <w:r>
        <w:rPr>
          <w:rFonts w:eastAsia="等线" w:ascii="Arial" w:cs="Arial" w:hAnsi="Arial"/>
          <w:sz w:val="22"/>
        </w:rPr>
        <w:t>替换代码：回测不支持替换代码，模拟交易中间替换了代码，回测使用替换后的代码，导致策略不一致；</w:t>
      </w:r>
    </w:p>
    <w:p>
      <w:pPr>
        <w:numPr>
          <w:numId w:val="153"/>
        </w:numPr>
        <w:spacing w:before="120" w:after="120" w:line="288" w:lineRule="auto"/>
        <w:ind w:left="0"/>
        <w:jc w:val="left"/>
      </w:pPr>
      <w:r>
        <w:rPr>
          <w:rFonts w:eastAsia="等线" w:ascii="Arial" w:cs="Arial" w:hAnsi="Arial"/>
          <w:sz w:val="22"/>
        </w:rPr>
        <w:t>暂停及重启策略：回测中不支持暂停，模拟交易可以暂停策略，暂停期间策略不运行；</w:t>
      </w:r>
    </w:p>
    <w:p>
      <w:pPr>
        <w:numPr>
          <w:numId w:val="154"/>
        </w:numPr>
        <w:spacing w:before="120" w:after="120" w:line="288" w:lineRule="auto"/>
        <w:ind w:left="0"/>
        <w:jc w:val="left"/>
      </w:pPr>
      <w:r>
        <w:rPr>
          <w:rFonts w:eastAsia="等线" w:ascii="Arial" w:cs="Arial" w:hAnsi="Arial"/>
          <w:sz w:val="22"/>
        </w:rPr>
        <w:t>回测只有一个进程,但模拟盘会在每天结束后关闭,次日再重启,涉及全局变量的持久化保存问题，请规范使用全局变量，具体见策略API介绍-对象-全局变量对象g部分。</w:t>
      </w:r>
    </w:p>
    <w:p>
      <w:pPr>
        <w:spacing w:before="120" w:after="120" w:line="288" w:lineRule="auto"/>
        <w:ind w:left="0"/>
        <w:jc w:val="left"/>
      </w:pPr>
    </w:p>
    <w:p>
      <w:pPr>
        <w:pStyle w:val="3"/>
        <w:spacing w:before="300" w:after="120" w:line="288" w:lineRule="auto"/>
        <w:ind w:left="0"/>
        <w:jc w:val="left"/>
        <w:outlineLvl w:val="2"/>
      </w:pPr>
      <w:bookmarkStart w:name="heading_30" w:id="30"/>
      <w:r>
        <w:rPr>
          <w:rFonts w:eastAsia="等线" w:ascii="Arial" w:cs="Arial" w:hAnsi="Arial"/>
          <w:b w:val="true"/>
          <w:sz w:val="30"/>
        </w:rPr>
        <w:t>期货交割日</w:t>
      </w:r>
      <w:bookmarkEnd w:id="30"/>
    </w:p>
    <w:p>
      <w:pPr>
        <w:spacing w:before="120" w:after="120" w:line="288" w:lineRule="auto"/>
        <w:ind w:left="0"/>
        <w:jc w:val="left"/>
      </w:pPr>
      <w:r>
        <w:rPr>
          <w:rFonts w:eastAsia="等线" w:ascii="Arial" w:cs="Arial" w:hAnsi="Arial"/>
          <w:sz w:val="22"/>
        </w:rPr>
        <w:t>期货持仓到交割日，没有手动交割，系统会以当天结算价平仓, 没有手续费, 不会有交易记录.</w:t>
      </w:r>
    </w:p>
    <w:p>
      <w:pPr>
        <w:pStyle w:val="3"/>
        <w:spacing w:before="300" w:after="120" w:line="288" w:lineRule="auto"/>
        <w:ind w:left="0"/>
        <w:jc w:val="left"/>
        <w:outlineLvl w:val="2"/>
      </w:pPr>
      <w:bookmarkStart w:name="heading_31" w:id="31"/>
      <w:r>
        <w:rPr>
          <w:rFonts w:eastAsia="等线" w:ascii="Arial" w:cs="Arial" w:hAnsi="Arial"/>
          <w:b w:val="true"/>
          <w:sz w:val="30"/>
        </w:rPr>
        <w:t>还券细则</w:t>
      </w:r>
      <w:bookmarkEnd w:id="31"/>
    </w:p>
    <w:p>
      <w:pPr>
        <w:numPr>
          <w:numId w:val="155"/>
        </w:numPr>
        <w:spacing w:before="120" w:after="120" w:line="288" w:lineRule="auto"/>
        <w:ind w:left="0"/>
        <w:jc w:val="left"/>
      </w:pPr>
      <w:r>
        <w:rPr>
          <w:rFonts w:eastAsia="等线" w:ascii="Arial" w:cs="Arial" w:hAnsi="Arial"/>
          <w:sz w:val="22"/>
        </w:rPr>
        <w:t>T+1, 当日融的券当日不能还</w:t>
      </w:r>
    </w:p>
    <w:p>
      <w:pPr>
        <w:numPr>
          <w:numId w:val="156"/>
        </w:numPr>
        <w:spacing w:before="120" w:after="120" w:line="288" w:lineRule="auto"/>
        <w:ind w:left="0"/>
        <w:jc w:val="left"/>
      </w:pPr>
      <w:r>
        <w:rPr>
          <w:rFonts w:eastAsia="等线" w:ascii="Arial" w:cs="Arial" w:hAnsi="Arial"/>
          <w:sz w:val="22"/>
        </w:rPr>
        <w:t>还券时要扣除利息</w:t>
      </w:r>
    </w:p>
    <w:p>
      <w:pPr>
        <w:numPr>
          <w:numId w:val="157"/>
        </w:numPr>
        <w:spacing w:before="120" w:after="120" w:line="288" w:lineRule="auto"/>
        <w:ind w:left="0"/>
        <w:jc w:val="left"/>
      </w:pPr>
      <w:r>
        <w:rPr>
          <w:rFonts w:eastAsia="等线" w:ascii="Arial" w:cs="Arial" w:hAnsi="Arial"/>
          <w:sz w:val="22"/>
        </w:rPr>
        <w:t>直接还券时, 可以使用当日买入的券还(不受T+1限制), 且优先使用当日买入的券还</w:t>
      </w:r>
    </w:p>
    <w:p>
      <w:pPr>
        <w:pStyle w:val="3"/>
        <w:spacing w:before="300" w:after="120" w:line="288" w:lineRule="auto"/>
        <w:ind w:left="0"/>
        <w:jc w:val="left"/>
        <w:outlineLvl w:val="2"/>
      </w:pPr>
      <w:bookmarkStart w:name="heading_32" w:id="32"/>
      <w:r>
        <w:rPr>
          <w:rFonts w:eastAsia="等线" w:ascii="Arial" w:cs="Arial" w:hAnsi="Arial"/>
          <w:b w:val="true"/>
          <w:sz w:val="30"/>
        </w:rPr>
        <w:t>投资组合优化器</w:t>
      </w:r>
      <w:bookmarkEnd w:id="32"/>
    </w:p>
    <w:p>
      <w:pPr>
        <w:spacing w:before="120" w:after="120" w:line="288" w:lineRule="auto"/>
        <w:ind w:left="0"/>
        <w:jc w:val="left"/>
      </w:pPr>
      <w:r>
        <w:rPr>
          <w:rFonts w:eastAsia="等线" w:ascii="Arial" w:cs="Arial" w:hAnsi="Arial"/>
          <w:b w:val="true"/>
          <w:sz w:val="22"/>
        </w:rPr>
        <w:t>投资组合优化</w:t>
      </w:r>
      <w:r>
        <w:rPr>
          <w:rFonts w:eastAsia="等线" w:ascii="Arial" w:cs="Arial" w:hAnsi="Arial"/>
          <w:sz w:val="22"/>
        </w:rPr>
        <w:t>是指应用概率论与数理统计、最优化方法以及线性代数等相关数学理论方法，根据既定目标收益和风险容许程度（例如最大化收益，最小化风险，风险平价等），将投资重新组合，分散风险的过程，它体现了投资者的意愿和投资者所受到的约束，即在一定风险水平下收益最大化或一定收益水平下的风险最小化。</w:t>
      </w:r>
    </w:p>
    <w:p>
      <w:pPr>
        <w:spacing w:before="120" w:after="120" w:line="288" w:lineRule="auto"/>
        <w:ind w:left="0"/>
        <w:jc w:val="left"/>
      </w:pPr>
      <w:r>
        <w:rPr>
          <w:rFonts w:eastAsia="等线" w:ascii="Arial" w:cs="Arial" w:hAnsi="Arial"/>
          <w:sz w:val="22"/>
        </w:rPr>
        <w:t>投资组合管理者在设定了投资收益预期、风险预算、相关约束和风险模型之后， 依托优化器的快速计算优势，得到资产配置最优化结果。</w:t>
      </w:r>
    </w:p>
    <w:p>
      <w:pPr>
        <w:spacing w:before="120" w:after="120" w:line="288" w:lineRule="auto"/>
        <w:ind w:left="0"/>
        <w:jc w:val="left"/>
      </w:pPr>
      <w:r>
        <w:rPr>
          <w:rFonts w:eastAsia="等线" w:ascii="Arial" w:cs="Arial" w:hAnsi="Arial"/>
          <w:sz w:val="22"/>
        </w:rPr>
        <w:t>由于不同的约束条件、目标函数，会形成不同的优化器，优化器的处理结果依赖用户输入的相关信息，因此投资者对收益率的预期和风险模型本身估计的准确性，都会影响最终的分析结果，再考虑到交易成本等各类因素的影响，所以从用户使用上而言，  没有绝对意义上最好的优化器。对于资产组合优化问题，  我们可以通过使用优化器，进行一个较长时间的回测，测试整个投资过程，在所有组合输入一致的情况下通过策略的绩效对比来看哪一个优化器有更好的表现，  或者更符合自己的需求。</w:t>
      </w:r>
    </w:p>
    <w:p>
      <w:pPr>
        <w:spacing w:before="120" w:after="120" w:line="288" w:lineRule="auto"/>
        <w:ind w:left="0"/>
        <w:jc w:val="left"/>
      </w:pPr>
      <w:r>
        <w:rPr>
          <w:rFonts w:eastAsia="等线" w:ascii="Arial" w:cs="Arial" w:hAnsi="Arial"/>
          <w:sz w:val="22"/>
        </w:rPr>
        <w:t>组合优化器支持对股票、基金进行投资优化，支持如下优化模型：</w:t>
      </w:r>
    </w:p>
    <w:p>
      <w:pPr>
        <w:numPr>
          <w:numId w:val="158"/>
        </w:numPr>
        <w:spacing w:before="120" w:after="120" w:line="288" w:lineRule="auto"/>
        <w:ind w:left="0"/>
        <w:jc w:val="left"/>
      </w:pPr>
      <w:r>
        <w:rPr>
          <w:rFonts w:eastAsia="等线" w:ascii="Arial" w:cs="Arial" w:hAnsi="Arial"/>
          <w:sz w:val="22"/>
        </w:rPr>
        <w:t>MinVariance - 组合风险最小化（均值-方差优化）</w:t>
      </w:r>
    </w:p>
    <w:p>
      <w:pPr>
        <w:numPr>
          <w:numId w:val="159"/>
        </w:numPr>
        <w:spacing w:before="120" w:after="120" w:line="288" w:lineRule="auto"/>
        <w:ind w:left="0"/>
        <w:jc w:val="left"/>
      </w:pPr>
      <w:r>
        <w:rPr>
          <w:rFonts w:eastAsia="等线" w:ascii="Arial" w:cs="Arial" w:hAnsi="Arial"/>
          <w:sz w:val="22"/>
        </w:rPr>
        <w:t>MaxProfit - 组合收益最大化</w:t>
      </w:r>
    </w:p>
    <w:p>
      <w:pPr>
        <w:numPr>
          <w:numId w:val="160"/>
        </w:numPr>
        <w:spacing w:before="120" w:after="120" w:line="288" w:lineRule="auto"/>
        <w:ind w:left="0"/>
        <w:jc w:val="left"/>
      </w:pPr>
      <w:r>
        <w:rPr>
          <w:rFonts w:eastAsia="等线" w:ascii="Arial" w:cs="Arial" w:hAnsi="Arial"/>
          <w:sz w:val="22"/>
        </w:rPr>
        <w:t>MaxSharpeRatio - 组合夏普比率最大化</w:t>
      </w:r>
    </w:p>
    <w:p>
      <w:pPr>
        <w:numPr>
          <w:numId w:val="161"/>
        </w:numPr>
        <w:spacing w:before="120" w:after="120" w:line="288" w:lineRule="auto"/>
        <w:ind w:left="0"/>
        <w:jc w:val="left"/>
      </w:pPr>
      <w:r>
        <w:rPr>
          <w:rFonts w:eastAsia="等线" w:ascii="Arial" w:cs="Arial" w:hAnsi="Arial"/>
          <w:sz w:val="22"/>
        </w:rPr>
        <w:t>MinTrackingError - 追踪误差最小化</w:t>
      </w:r>
    </w:p>
    <w:p>
      <w:pPr>
        <w:numPr>
          <w:numId w:val="162"/>
        </w:numPr>
        <w:spacing w:before="120" w:after="120" w:line="288" w:lineRule="auto"/>
        <w:ind w:left="0"/>
        <w:jc w:val="left"/>
      </w:pPr>
      <w:r>
        <w:rPr>
          <w:rFonts w:eastAsia="等线" w:ascii="Arial" w:cs="Arial" w:hAnsi="Arial"/>
          <w:sz w:val="22"/>
        </w:rPr>
        <w:t>RiskParity - 风险平价</w:t>
      </w:r>
    </w:p>
    <w:p>
      <w:pPr>
        <w:numPr>
          <w:numId w:val="163"/>
        </w:numPr>
        <w:spacing w:before="120" w:after="120" w:line="288" w:lineRule="auto"/>
        <w:ind w:left="0"/>
        <w:jc w:val="left"/>
      </w:pPr>
      <w:r>
        <w:rPr>
          <w:rFonts w:eastAsia="等线" w:ascii="Arial" w:cs="Arial" w:hAnsi="Arial"/>
          <w:sz w:val="22"/>
        </w:rPr>
        <w:t>MaxScore - 组合标的打分最大化</w:t>
      </w:r>
    </w:p>
    <w:p>
      <w:pPr>
        <w:numPr>
          <w:numId w:val="164"/>
        </w:numPr>
        <w:spacing w:before="120" w:after="120" w:line="288" w:lineRule="auto"/>
        <w:ind w:left="0"/>
        <w:jc w:val="left"/>
      </w:pPr>
      <w:r>
        <w:rPr>
          <w:rFonts w:eastAsia="等线" w:ascii="Arial" w:cs="Arial" w:hAnsi="Arial"/>
          <w:sz w:val="22"/>
        </w:rPr>
        <w:t>MinScore - 组合标的打分最小化</w:t>
      </w:r>
    </w:p>
    <w:p>
      <w:pPr>
        <w:numPr>
          <w:numId w:val="165"/>
        </w:numPr>
        <w:spacing w:before="120" w:after="120" w:line="288" w:lineRule="auto"/>
        <w:ind w:left="0"/>
        <w:jc w:val="left"/>
      </w:pPr>
      <w:r>
        <w:rPr>
          <w:rFonts w:eastAsia="等线" w:ascii="Arial" w:cs="Arial" w:hAnsi="Arial"/>
          <w:sz w:val="22"/>
        </w:rPr>
        <w:t>MaxFactorValue - 因子值最大化</w:t>
      </w:r>
    </w:p>
    <w:p>
      <w:pPr>
        <w:numPr>
          <w:numId w:val="166"/>
        </w:numPr>
        <w:spacing w:before="120" w:after="120" w:line="288" w:lineRule="auto"/>
        <w:ind w:left="0"/>
        <w:jc w:val="left"/>
      </w:pPr>
      <w:r>
        <w:rPr>
          <w:rFonts w:eastAsia="等线" w:ascii="Arial" w:cs="Arial" w:hAnsi="Arial"/>
          <w:sz w:val="22"/>
        </w:rPr>
        <w:t>MinFactorValue - 因子值最小化</w:t>
      </w:r>
    </w:p>
    <w:p>
      <w:pPr>
        <w:numPr>
          <w:numId w:val="167"/>
        </w:numPr>
        <w:spacing w:before="120" w:after="120" w:line="288" w:lineRule="auto"/>
        <w:ind w:left="0"/>
        <w:jc w:val="left"/>
      </w:pPr>
      <w:r>
        <w:rPr>
          <w:rFonts w:eastAsia="等线" w:ascii="Arial" w:cs="Arial" w:hAnsi="Arial"/>
          <w:sz w:val="22"/>
        </w:rPr>
        <w:t>自定义约束条件的优化模型</w:t>
      </w:r>
    </w:p>
    <w:p>
      <w:pPr>
        <w:spacing w:before="120" w:after="120" w:line="288" w:lineRule="auto"/>
        <w:ind w:left="0"/>
        <w:jc w:val="left"/>
      </w:pPr>
      <w:r>
        <w:rPr>
          <w:rFonts w:eastAsia="等线" w:ascii="Arial" w:cs="Arial" w:hAnsi="Arial"/>
          <w:sz w:val="22"/>
        </w:rPr>
        <w:t>对使用优化器的投资组合管理者来说，只需根据收益预期、风险预算，选择恰当的优化模型，并设定相关的约束限制条件。优化器程序可以基于选定的优化模型，输出优化后的投资权重调整建议。我们会对投资组合优化器的进行持续创新与改进。</w:t>
      </w:r>
    </w:p>
    <w:p>
      <w:pPr>
        <w:pStyle w:val="4"/>
        <w:spacing w:before="260" w:after="120" w:line="288" w:lineRule="auto"/>
        <w:ind w:left="0"/>
        <w:jc w:val="left"/>
        <w:outlineLvl w:val="3"/>
      </w:pPr>
      <w:bookmarkStart w:name="heading_33" w:id="33"/>
      <w:r>
        <w:rPr>
          <w:rFonts w:eastAsia="等线" w:ascii="Arial" w:cs="Arial" w:hAnsi="Arial"/>
          <w:b w:val="true"/>
          <w:sz w:val="28"/>
        </w:rPr>
        <w:t>示例</w:t>
      </w:r>
      <w:bookmarkEnd w:id="33"/>
    </w:p>
    <w:p>
      <w:pPr>
        <w:spacing w:before="120" w:after="120" w:line="288" w:lineRule="auto"/>
        <w:ind w:left="0"/>
        <w:jc w:val="left"/>
      </w:pPr>
      <w:r>
        <w:rPr>
          <w:rFonts w:eastAsia="等线" w:ascii="Arial" w:cs="Arial" w:hAnsi="Arial"/>
          <w:sz w:val="22"/>
        </w:rPr>
        <w:t>下面选出上证50成分股的一部分与选定的ETF基金进行组合构成股票池，设定不同的投资组合优化约束条件，并进行回测，测试投资组合优化器对整个投资的影响。</w:t>
      </w:r>
    </w:p>
    <w:p>
      <w:pPr>
        <w:numPr>
          <w:numId w:val="168"/>
        </w:numPr>
        <w:spacing w:before="120" w:after="120" w:line="288" w:lineRule="auto"/>
        <w:ind w:left="0"/>
        <w:jc w:val="left"/>
      </w:pPr>
      <w:r>
        <w:rPr>
          <w:rFonts w:eastAsia="等线" w:ascii="Arial" w:cs="Arial" w:hAnsi="Arial"/>
          <w:b w:val="true"/>
          <w:sz w:val="22"/>
        </w:rPr>
        <w:t>模型1：等权重配置</w:t>
      </w:r>
    </w:p>
    <w:p>
      <w:pPr>
        <w:spacing w:before="120" w:after="120" w:line="288" w:lineRule="auto"/>
        <w:ind w:left="0"/>
        <w:jc w:val="center"/>
      </w:pPr>
      <w:r>
        <w:drawing>
          <wp:inline distT="0" distR="0" distB="0" distL="0">
            <wp:extent cx="5257800" cy="19716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77"/>
                    <a:stretch>
                      <a:fillRect/>
                    </a:stretch>
                  </pic:blipFill>
                  <pic:spPr>
                    <a:xfrm>
                      <a:off x="0" y="0"/>
                      <a:ext cx="5257800" cy="1971675"/>
                    </a:xfrm>
                    <a:prstGeom prst="rect">
                      <a:avLst/>
                    </a:prstGeom>
                  </pic:spPr>
                </pic:pic>
              </a:graphicData>
            </a:graphic>
          </wp:inline>
        </w:drawing>
      </w:r>
    </w:p>
    <w:p>
      <w:pPr>
        <w:numPr>
          <w:numId w:val="169"/>
        </w:numPr>
        <w:spacing w:before="120" w:after="120" w:line="288" w:lineRule="auto"/>
        <w:ind w:left="0"/>
        <w:jc w:val="left"/>
      </w:pPr>
      <w:r>
        <w:rPr>
          <w:rFonts w:eastAsia="等线" w:ascii="Arial" w:cs="Arial" w:hAnsi="Arial"/>
          <w:b w:val="true"/>
          <w:sz w:val="22"/>
        </w:rPr>
        <w:t>模型2：组合风险平价；股票的总权重限制为0到90%，ETF的总权重限制为0到10%；每只标的权重不超过10%</w:t>
      </w:r>
    </w:p>
    <w:p>
      <w:pPr>
        <w:spacing w:before="120" w:after="120" w:line="288" w:lineRule="auto"/>
        <w:ind w:left="0"/>
        <w:jc w:val="center"/>
      </w:pPr>
      <w:r>
        <w:drawing>
          <wp:inline distT="0" distR="0" distB="0" distL="0">
            <wp:extent cx="5257800" cy="16668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78"/>
                    <a:stretch>
                      <a:fillRect/>
                    </a:stretch>
                  </pic:blipFill>
                  <pic:spPr>
                    <a:xfrm>
                      <a:off x="0" y="0"/>
                      <a:ext cx="5257800" cy="1666875"/>
                    </a:xfrm>
                    <a:prstGeom prst="rect">
                      <a:avLst/>
                    </a:prstGeom>
                  </pic:spPr>
                </pic:pic>
              </a:graphicData>
            </a:graphic>
          </wp:inline>
        </w:drawing>
      </w:r>
    </w:p>
    <w:p>
      <w:pPr>
        <w:numPr>
          <w:numId w:val="170"/>
        </w:numPr>
        <w:spacing w:before="120" w:after="120" w:line="288" w:lineRule="auto"/>
        <w:ind w:left="0"/>
        <w:jc w:val="left"/>
      </w:pPr>
      <w:r>
        <w:rPr>
          <w:rFonts w:eastAsia="等线" w:ascii="Arial" w:cs="Arial" w:hAnsi="Arial"/>
          <w:b w:val="true"/>
          <w:sz w:val="22"/>
        </w:rPr>
        <w:t>模型3：组合风险最小化（最小化组合方差）；组合总权重限制为90%到100%；组合年化收益率目标下限为10%</w:t>
      </w:r>
    </w:p>
    <w:p>
      <w:pPr>
        <w:spacing w:before="120" w:after="120" w:line="288" w:lineRule="auto"/>
        <w:ind w:left="0"/>
        <w:jc w:val="center"/>
      </w:pPr>
      <w:r>
        <w:drawing>
          <wp:inline distT="0" distR="0" distB="0" distL="0">
            <wp:extent cx="5257800" cy="19240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79"/>
                    <a:stretch>
                      <a:fillRect/>
                    </a:stretch>
                  </pic:blipFill>
                  <pic:spPr>
                    <a:xfrm>
                      <a:off x="0" y="0"/>
                      <a:ext cx="5257800" cy="1924050"/>
                    </a:xfrm>
                    <a:prstGeom prst="rect">
                      <a:avLst/>
                    </a:prstGeom>
                  </pic:spPr>
                </pic:pic>
              </a:graphicData>
            </a:graphic>
          </wp:inline>
        </w:drawing>
      </w:r>
    </w:p>
    <w:p>
      <w:pPr>
        <w:numPr>
          <w:numId w:val="171"/>
        </w:numPr>
        <w:spacing w:before="120" w:after="120" w:line="288" w:lineRule="auto"/>
        <w:ind w:left="0"/>
        <w:jc w:val="left"/>
      </w:pPr>
      <w:r>
        <w:rPr>
          <w:rFonts w:eastAsia="等线" w:ascii="Arial" w:cs="Arial" w:hAnsi="Arial"/>
          <w:b w:val="true"/>
          <w:sz w:val="22"/>
        </w:rPr>
        <w:t>模型4：'人气指标5日均值'最大化；组合年化收益率目标下限为10%；每只标的权重不超过20%</w:t>
      </w:r>
    </w:p>
    <w:p>
      <w:pPr>
        <w:spacing w:before="120" w:after="120" w:line="288" w:lineRule="auto"/>
        <w:ind w:left="0"/>
        <w:jc w:val="center"/>
      </w:pPr>
      <w:r>
        <w:drawing>
          <wp:inline distT="0" distR="0" distB="0" distL="0">
            <wp:extent cx="5257800" cy="16287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80"/>
                    <a:stretch>
                      <a:fillRect/>
                    </a:stretch>
                  </pic:blipFill>
                  <pic:spPr>
                    <a:xfrm>
                      <a:off x="0" y="0"/>
                      <a:ext cx="5257800" cy="1628775"/>
                    </a:xfrm>
                    <a:prstGeom prst="rect">
                      <a:avLst/>
                    </a:prstGeom>
                  </pic:spPr>
                </pic:pic>
              </a:graphicData>
            </a:graphic>
          </wp:inline>
        </w:drawing>
      </w:r>
    </w:p>
    <w:p>
      <w:pPr>
        <w:numPr>
          <w:numId w:val="172"/>
        </w:numPr>
        <w:spacing w:before="120" w:after="120" w:line="288" w:lineRule="auto"/>
        <w:ind w:left="0"/>
        <w:jc w:val="left"/>
      </w:pPr>
      <w:r>
        <w:rPr>
          <w:rFonts w:eastAsia="等线" w:ascii="Arial" w:cs="Arial" w:hAnsi="Arial"/>
          <w:b w:val="true"/>
          <w:sz w:val="22"/>
        </w:rPr>
        <w:t>模型5：组合夏普比率最大化；每只标的权重不超过10%</w:t>
      </w:r>
    </w:p>
    <w:p>
      <w:pPr>
        <w:spacing w:before="120" w:after="120" w:line="288" w:lineRule="auto"/>
        <w:ind w:left="0"/>
        <w:jc w:val="center"/>
      </w:pPr>
      <w:r>
        <w:drawing>
          <wp:inline distT="0" distR="0" distB="0" distL="0">
            <wp:extent cx="5257800" cy="16192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81"/>
                    <a:stretch>
                      <a:fillRect/>
                    </a:stretch>
                  </pic:blipFill>
                  <pic:spPr>
                    <a:xfrm>
                      <a:off x="0" y="0"/>
                      <a:ext cx="5257800" cy="16192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回测代码如下,  优化函数API详情见 </w:t>
      </w:r>
      <w:hyperlink r:id="rId82">
        <w:r>
          <w:rPr>
            <w:rFonts w:eastAsia="等线" w:ascii="Arial" w:cs="Arial" w:hAnsi="Arial"/>
            <w:color w:val="3370ff"/>
            <w:sz w:val="22"/>
          </w:rPr>
          <w:t>portfolio_optimizer - 投资组合优化</w:t>
        </w:r>
      </w:hyperlink>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导入函数库import pandas as pd</w:t>
              <w:br/>
              <w:t>from jqdata import *</w:t>
              <w:br/>
              <w:t>from jqfactor import Factor</w:t>
              <w:br/>
              <w:t>from jqlib.optimizer import *</w:t>
              <w:br/>
              <w:br/>
              <w:t># 初始化函数，设定基准等等def initialize(context):# 设定沪深300作为基准</w:t>
              <w:br/>
              <w:t xml:space="preserve">    set_benchmark('000300.XSHG')</w:t>
              <w:br/>
              <w:t xml:space="preserve">    # 开启动态复权模式(真实价格)</w:t>
              <w:br/>
              <w:t xml:space="preserve">    set_option('use_real_price', True)</w:t>
              <w:br/>
              <w:br/>
              <w:t xml:space="preserve">    # 过滤掉order系列API产生的比error级别低的log# log.set_level('order', 'error')### 股票相关设定 #### 股票类每笔交易时的手续费是：买入时佣金万分之三，卖出时佣金万分之三加千分之一印花税, 每笔交易佣金最低扣5块钱</w:t>
              <w:br/>
              <w:t xml:space="preserve">    set_order_cost(OrderCost(close_tax=0.001, open_commission=0.0003, close_commission=0.0003,</w:t>
              <w:br/>
              <w:t xml:space="preserve">                            min_commission=5), type='stock')</w:t>
              <w:br/>
              <w:br/>
              <w:t xml:space="preserve">    # 优化器设置</w:t>
              <w:br/>
              <w:t xml:space="preserve">    g.optimizer = 2 #设定使用的优化模型</w:t>
              <w:br/>
              <w:t xml:space="preserve">    optimize_model = {</w:t>
              <w:br/>
              <w:t xml:space="preserve">                        1:"模型1：等权重配置",</w:t>
              <w:br/>
              <w:t xml:space="preserve">                        2:"模型2：组合风险平价；股票的总权重限制为0到90%，ETF的总权重限制为0到10%；每只标的权重不超过10%",</w:t>
              <w:br/>
              <w:t xml:space="preserve">                        3:"模型3：组合风险最小化（最小化组合方差）；组合总权重限制为90%到100%；组合年化收益率目标下限为10%",</w:t>
              <w:br/>
              <w:t xml:space="preserve">                        4:"模型4：'人气指标5日均值'最大化；组合年化收益率目标下限为10%；每只标的权重不超过20%",</w:t>
              <w:br/>
              <w:t xml:space="preserve">                        5:"模型5：组合夏普比率最大化；每只标的权重不超过10%"</w:t>
              <w:br/>
              <w:t xml:space="preserve">                      }</w:t>
              <w:br/>
              <w:t xml:space="preserve">    print("优化%s"%(optimize_model[g.optimizer]))</w:t>
              <w:br/>
              <w:br/>
              <w:t xml:space="preserve">    ## 运行函数（reference_security为运行时间的参考标的；传入的标的只做种类区分，因此传入'000300.XSHG'或'510300.XSHG'是一样的）# 开盘前运行</w:t>
              <w:br/>
              <w:t xml:space="preserve">    run_monthly(before_market_open, monthday=1, time='9:00', reference_security='000300.XSHG')</w:t>
              <w:br/>
              <w:t xml:space="preserve">      # 开盘运行</w:t>
              <w:br/>
              <w:t xml:space="preserve">    run_monthly(market_open, monthday=1, time='9:30', reference_security='000300.XSHG')</w:t>
              <w:br/>
              <w:br/>
              <w:t>## 开盘前运行函数def before_market_open(context):</w:t>
              <w:br/>
              <w:t xml:space="preserve">    print('调仓日期：%s'%context.current_dt.date())</w:t>
              <w:br/>
              <w:br/>
              <w:t xml:space="preserve">    # 选出上证50成分股的一部分与选定的ETF基金进行组合,构成股票池。</w:t>
              <w:br/>
              <w:t xml:space="preserve">    etf = [</w:t>
              <w:br/>
              <w:t xml:space="preserve">        '159902.XSHE',</w:t>
              <w:br/>
              <w:t xml:space="preserve">        '159903.XSHE',</w:t>
              <w:br/>
              <w:t xml:space="preserve">        '510050.XSHG',</w:t>
              <w:br/>
              <w:t xml:space="preserve">        '510880.XSHG',</w:t>
              <w:br/>
              <w:t xml:space="preserve">        '510440.XSHG',</w:t>
              <w:br/>
              <w:t xml:space="preserve">        ]</w:t>
              <w:br/>
              <w:t xml:space="preserve">    g.buy_list = list(get_index_stocks('000016.XSHG')[-15:]) + etf</w:t>
              <w:br/>
              <w:br/>
              <w:t>## 开盘时运行函数def market_open(context):# 将不在股票池中的股票卖出</w:t>
              <w:br/>
              <w:t xml:space="preserve">    sell_list = set(context.portfolio.positions.keys()) - set(g.buy_list)</w:t>
              <w:br/>
              <w:t xml:space="preserve">    for stock in sell_list:</w:t>
              <w:br/>
              <w:t xml:space="preserve">        order_target_value(stock, 0)</w:t>
              <w:br/>
              <w:br/>
              <w:t xml:space="preserve">    # 组合优化模型if g.optimizer == 1:</w:t>
              <w:br/>
              <w:t xml:space="preserve">        # 模型1：等权重配置</w:t>
              <w:br/>
              <w:t xml:space="preserve">        optimized_weight = pd.Series(data=[1.0/len(g.buy_list)]*len(g.buy_list),</w:t>
              <w:br/>
              <w:t xml:space="preserve">                                    index=g.buy_list)</w:t>
              <w:br/>
              <w:t xml:space="preserve">    elif g.optimizer == 2:</w:t>
              <w:br/>
              <w:t xml:space="preserve">        # 模型2：组合风险平价；股票的总权重限制为0到90%，ETF的总权重限制为0到10%；每只标的权重不超过10%</w:t>
              <w:br/>
              <w:t xml:space="preserve">        optimized_weight = portfolio_optimizer(date=context.previous_date,</w:t>
              <w:br/>
              <w:t xml:space="preserve">                                    securities = g.buy_list,</w:t>
              <w:br/>
              <w:t xml:space="preserve">                                    target = RiskParity(count=250, risk_budget=None),# risk_budget 为 None默认为每只股票贡献相等</w:t>
              <w:br/>
              <w:t xml:space="preserve">                                    constraints = [MarketConstraint('stock', low=0.0, high=0.9),</w:t>
              <w:br/>
              <w:t xml:space="preserve">                                                  MarketConstraint('etf', low=0.0, high=0.1)],</w:t>
              <w:br/>
              <w:t xml:space="preserve">                                    bounds=[Bound(0, 0.1)],</w:t>
              <w:br/>
              <w:t xml:space="preserve">                                    default_port_weight_range=[0., 1.0],</w:t>
              <w:br/>
              <w:t xml:space="preserve">                                    ftol=1e-09,</w:t>
              <w:br/>
              <w:t xml:space="preserve">                                    return_none_if_fail=True)</w:t>
              <w:br/>
              <w:t xml:space="preserve">    elif g.optimizer == 3:</w:t>
              <w:br/>
              <w:t xml:space="preserve">        # 模型3：组合风险最小化（最小化组合方差）；组合总权重限制为90%到100%；组合年化收益率目标下限为10%</w:t>
              <w:br/>
              <w:t xml:space="preserve">        optimized_weight = portfolio_optimizer(date=context.previous_date,</w:t>
              <w:br/>
              <w:t xml:space="preserve">                                    securities = g.buy_list,</w:t>
              <w:br/>
              <w:t xml:space="preserve">                                    target = MinVariance(count=250),</w:t>
              <w:br/>
              <w:t xml:space="preserve">                                    constraints = [WeightConstraint(low=0.9, high=1.0),</w:t>
              <w:br/>
              <w:t xml:space="preserve">                                                   AnnualProfitConstraint(limit=0.1, count=250)],</w:t>
              <w:br/>
              <w:t xml:space="preserve">                                    bounds=[],</w:t>
              <w:br/>
              <w:t xml:space="preserve">                                    default_port_weight_range=[0., 1.0],</w:t>
              <w:br/>
              <w:t xml:space="preserve">                                    ftol=1e-09,</w:t>
              <w:br/>
              <w:t xml:space="preserve">                                    return_none_if_fail=True)</w:t>
              <w:br/>
              <w:t xml:space="preserve">    elif g.optimizer == 4:</w:t>
              <w:br/>
              <w:t xml:space="preserve">        # 模型4：组合标的因子值最大化# 定义因子：人气指标5日均值class AR(Factor):</w:t>
              <w:br/>
              <w:t xml:space="preserve">            name = 'ar'# 每天获取过去五日的数据</w:t>
              <w:br/>
              <w:t xml:space="preserve">            max_window = 5# 获取的数据是人气指标</w:t>
              <w:br/>
              <w:t xml:space="preserve">            dependencies = ['AR']</w:t>
              <w:br/>
              <w:t xml:space="preserve">            def calc(self, data):return data['AR'].mean()</w:t>
              <w:br/>
              <w:t xml:space="preserve">        # 模型4：'人气指标5日均值'最大化；组合年化收益率目标下限为10%；每只标的权重不超过20%</w:t>
              <w:br/>
              <w:t xml:space="preserve">        optimized_weight = portfolio_optimizer(date=context.previous_date,</w:t>
              <w:br/>
              <w:t xml:space="preserve">                                    securities = g.buy_list,</w:t>
              <w:br/>
              <w:t xml:space="preserve">                                    target = MaxFactorValue(factor=AR, count=1),</w:t>
              <w:br/>
              <w:t xml:space="preserve">                                    constraints = [AnnualProfitConstraint(limit=0.2, count=250)],</w:t>
              <w:br/>
              <w:t xml:space="preserve">                                    bounds=[Bound(0, 0.2)],</w:t>
              <w:br/>
              <w:t xml:space="preserve">                                    default_port_weight_range=[0., 1.0],</w:t>
              <w:br/>
              <w:t xml:space="preserve">                                    ftol=1e-09,</w:t>
              <w:br/>
              <w:t xml:space="preserve">                                    return_none_if_fail=True)</w:t>
              <w:br/>
              <w:t xml:space="preserve">    elif g.optimizer == 5:</w:t>
              <w:br/>
              <w:t xml:space="preserve">        # 模型5：组合夏普比率最大化；每只标的权重不超过10%</w:t>
              <w:br/>
              <w:t xml:space="preserve">        optimized_weight = portfolio_optimizer(date=context.previous_date,</w:t>
              <w:br/>
              <w:t xml:space="preserve">                                    securities = g.buy_list,</w:t>
              <w:br/>
              <w:t xml:space="preserve">                                    target = MaxSharpeRatio(rf=0.0,weight_sum_equal=0.5, count=250),#无风险利率为0，最大化夏普比率需要约束组合权重的和为0.5</w:t>
              <w:br/>
              <w:t xml:space="preserve">                                    constraints = [],</w:t>
              <w:br/>
              <w:t xml:space="preserve">                                    bounds=[Bound(0, 0.1)],</w:t>
              <w:br/>
              <w:t xml:space="preserve">                                    default_port_weight_range=[0., 1.0],</w:t>
              <w:br/>
              <w:t xml:space="preserve">                                    ftol=1e-09,</w:t>
              <w:br/>
              <w:t xml:space="preserve">                                    return_none_if_fail=True)</w:t>
              <w:br/>
              <w:br/>
              <w:t xml:space="preserve">    # 查看优化结果</w:t>
              <w:br/>
              <w:t xml:space="preserve">    print(optimized_weight)</w:t>
              <w:br/>
              <w:br/>
              <w:t xml:space="preserve">    # 优化失败，给予警告if type(optimized_weight) == type(None):</w:t>
              <w:br/>
              <w:t xml:space="preserve">        print('警告：组合优化失败')</w:t>
              <w:br/>
              <w:t xml:space="preserve">    # 按优化结果，执行调仓操作else:</w:t>
              <w:br/>
              <w:t xml:space="preserve">        total_value = context.portfolio.total_value # 获取总资产for stock in optimized_weight.keys():</w:t>
              <w:br/>
              <w:t xml:space="preserve">            value = total_value * optimized_weight[stock] # 确定每个标的的权重</w:t>
              <w:br/>
            </w:r>
            <w:r>
              <w:rPr>
                <w:rFonts w:eastAsia="Consolas" w:ascii="Consolas" w:cs="Consolas" w:hAnsi="Consolas"/>
                <w:sz w:val="22"/>
              </w:rPr>
              <w:t xml:space="preserve">            order_target_value(stock, value) # 调整标的至目标权重</w:t>
            </w:r>
          </w:p>
        </w:tc>
      </w:tr>
    </w:tbl>
    <w:p>
      <w:pPr>
        <w:pStyle w:val="2"/>
        <w:spacing w:before="320" w:after="120" w:line="288" w:lineRule="auto"/>
        <w:ind w:left="0"/>
        <w:jc w:val="left"/>
        <w:outlineLvl w:val="1"/>
      </w:pPr>
      <w:bookmarkStart w:name="heading_34" w:id="34"/>
      <w:r>
        <w:rPr>
          <w:rFonts w:eastAsia="等线" w:ascii="Arial" w:cs="Arial" w:hAnsi="Arial"/>
          <w:b w:val="true"/>
          <w:sz w:val="32"/>
        </w:rPr>
        <w:t>策略程序架构♠</w:t>
      </w:r>
      <w:bookmarkEnd w:id="34"/>
    </w:p>
    <w:p>
      <w:pPr>
        <w:spacing w:before="120" w:after="120" w:line="288" w:lineRule="auto"/>
        <w:ind w:left="0"/>
        <w:jc w:val="left"/>
      </w:pPr>
    </w:p>
    <w:p>
      <w:pPr>
        <w:spacing w:before="120" w:after="120" w:line="288" w:lineRule="auto"/>
        <w:ind w:left="0"/>
        <w:jc w:val="left"/>
      </w:pPr>
      <w:r>
        <w:rPr>
          <w:rFonts w:eastAsia="等线" w:ascii="Arial" w:cs="Arial" w:hAnsi="Arial"/>
          <w:sz w:val="22"/>
        </w:rPr>
        <w:t>名称描述</w:t>
      </w:r>
    </w:p>
    <w:p>
      <w:pPr>
        <w:spacing w:before="120" w:after="120" w:line="288" w:lineRule="auto"/>
        <w:ind w:left="0"/>
        <w:jc w:val="left"/>
      </w:pPr>
      <w:r>
        <w:rPr>
          <w:rFonts w:eastAsia="等线" w:ascii="Arial" w:cs="Arial" w:hAnsi="Arial"/>
          <w:sz w:val="22"/>
        </w:rPr>
        <w:t>initialize  初始化函数</w:t>
      </w:r>
    </w:p>
    <w:p>
      <w:pPr>
        <w:spacing w:before="120" w:after="120" w:line="288" w:lineRule="auto"/>
        <w:ind w:left="0"/>
        <w:jc w:val="left"/>
      </w:pPr>
      <w:r>
        <w:rPr>
          <w:rFonts w:eastAsia="等线" w:ascii="Arial" w:cs="Arial" w:hAnsi="Arial"/>
          <w:sz w:val="22"/>
        </w:rPr>
        <w:t>run_daily/run_weekly/run_monthly     定时运行策略(可选)</w:t>
      </w:r>
    </w:p>
    <w:p>
      <w:pPr>
        <w:spacing w:before="120" w:after="120" w:line="288" w:lineRule="auto"/>
        <w:ind w:left="0"/>
        <w:jc w:val="left"/>
      </w:pPr>
      <w:r>
        <w:rPr>
          <w:rFonts w:eastAsia="等线" w:ascii="Arial" w:cs="Arial" w:hAnsi="Arial"/>
          <w:sz w:val="22"/>
        </w:rPr>
        <w:t>handle_data  运行策略(可选)</w:t>
      </w:r>
    </w:p>
    <w:p>
      <w:pPr>
        <w:spacing w:before="120" w:after="120" w:line="288" w:lineRule="auto"/>
        <w:ind w:left="0"/>
        <w:jc w:val="left"/>
      </w:pPr>
      <w:r>
        <w:rPr>
          <w:rFonts w:eastAsia="等线" w:ascii="Arial" w:cs="Arial" w:hAnsi="Arial"/>
          <w:sz w:val="22"/>
        </w:rPr>
        <w:t>on_event  事件回调(可选)</w:t>
      </w:r>
    </w:p>
    <w:p>
      <w:pPr>
        <w:spacing w:before="120" w:after="120" w:line="288" w:lineRule="auto"/>
        <w:ind w:left="0"/>
        <w:jc w:val="left"/>
      </w:pPr>
      <w:r>
        <w:rPr>
          <w:rFonts w:eastAsia="等线" w:ascii="Arial" w:cs="Arial" w:hAnsi="Arial"/>
          <w:sz w:val="22"/>
        </w:rPr>
        <w:t>before_trading_start  开盘前运行策略(可选)</w:t>
      </w:r>
    </w:p>
    <w:p>
      <w:pPr>
        <w:spacing w:before="120" w:after="120" w:line="288" w:lineRule="auto"/>
        <w:ind w:left="0"/>
        <w:jc w:val="left"/>
      </w:pPr>
      <w:r>
        <w:rPr>
          <w:rFonts w:eastAsia="等线" w:ascii="Arial" w:cs="Arial" w:hAnsi="Arial"/>
          <w:sz w:val="22"/>
        </w:rPr>
        <w:t>after_trading_end  收盘后运行策略(可选)</w:t>
      </w:r>
    </w:p>
    <w:p>
      <w:pPr>
        <w:spacing w:before="120" w:after="120" w:line="288" w:lineRule="auto"/>
        <w:ind w:left="0"/>
        <w:jc w:val="left"/>
      </w:pPr>
      <w:r>
        <w:rPr>
          <w:rFonts w:eastAsia="等线" w:ascii="Arial" w:cs="Arial" w:hAnsi="Arial"/>
          <w:sz w:val="22"/>
        </w:rPr>
        <w:t>on_strategy_end  策略运行结束时调用(可选)</w:t>
      </w:r>
    </w:p>
    <w:p>
      <w:pPr>
        <w:spacing w:before="120" w:after="120" w:line="288" w:lineRule="auto"/>
        <w:ind w:left="0"/>
        <w:jc w:val="left"/>
      </w:pPr>
      <w:r>
        <w:rPr>
          <w:rFonts w:eastAsia="等线" w:ascii="Arial" w:cs="Arial" w:hAnsi="Arial"/>
          <w:sz w:val="22"/>
        </w:rPr>
        <w:t>process_initialize  每次程序启动时运行函数(可选)</w:t>
      </w:r>
    </w:p>
    <w:p>
      <w:pPr>
        <w:spacing w:before="120" w:after="120" w:line="288" w:lineRule="auto"/>
        <w:ind w:left="0"/>
        <w:jc w:val="left"/>
      </w:pPr>
      <w:r>
        <w:rPr>
          <w:rFonts w:eastAsia="等线" w:ascii="Arial" w:cs="Arial" w:hAnsi="Arial"/>
          <w:sz w:val="22"/>
        </w:rPr>
        <w:t>after_code_changed  模拟交易更换代码后运行函数(可选)</w:t>
      </w:r>
    </w:p>
    <w:p>
      <w:pPr>
        <w:spacing w:before="120" w:after="120" w:line="288" w:lineRule="auto"/>
        <w:ind w:left="0"/>
        <w:jc w:val="left"/>
      </w:pPr>
      <w:r>
        <w:rPr>
          <w:rFonts w:eastAsia="等线" w:ascii="Arial" w:cs="Arial" w:hAnsi="Arial"/>
          <w:sz w:val="22"/>
        </w:rPr>
        <w:t>unschedule_all 取消所有定时运行(可选)</w:t>
      </w:r>
    </w:p>
    <w:p>
      <w:pPr>
        <w:pStyle w:val="2"/>
        <w:spacing w:before="320" w:after="120" w:line="288" w:lineRule="auto"/>
        <w:ind w:left="0"/>
        <w:jc w:val="left"/>
        <w:outlineLvl w:val="1"/>
      </w:pPr>
      <w:bookmarkStart w:name="heading_35" w:id="35"/>
      <w:r>
        <w:rPr>
          <w:rFonts w:eastAsia="等线" w:ascii="Arial" w:cs="Arial" w:hAnsi="Arial"/>
          <w:b w:val="true"/>
          <w:sz w:val="32"/>
        </w:rPr>
        <w:t>策略API介绍</w:t>
      </w:r>
      <w:bookmarkEnd w:id="35"/>
    </w:p>
    <w:p>
      <w:pPr>
        <w:spacing w:before="120" w:after="120" w:line="288" w:lineRule="auto"/>
        <w:ind w:left="0"/>
        <w:jc w:val="left"/>
      </w:pPr>
    </w:p>
    <w:p>
      <w:pPr>
        <w:pStyle w:val="3"/>
        <w:spacing w:before="300" w:after="120" w:line="288" w:lineRule="auto"/>
        <w:ind w:left="0"/>
        <w:jc w:val="left"/>
        <w:outlineLvl w:val="2"/>
      </w:pPr>
      <w:bookmarkStart w:name="heading_36" w:id="36"/>
      <w:r>
        <w:rPr>
          <w:rFonts w:eastAsia="等线" w:ascii="Arial" w:cs="Arial" w:hAnsi="Arial"/>
          <w:b w:val="true"/>
          <w:sz w:val="30"/>
        </w:rPr>
        <w:t>注意事项</w:t>
      </w:r>
      <w:bookmarkEnd w:id="36"/>
    </w:p>
    <w:p>
      <w:pPr>
        <w:numPr>
          <w:numId w:val="173"/>
        </w:numPr>
        <w:spacing w:before="120" w:after="120" w:line="288" w:lineRule="auto"/>
        <w:ind w:left="0"/>
        <w:jc w:val="left"/>
      </w:pPr>
      <w:r>
        <w:rPr>
          <w:rFonts w:eastAsia="等线" w:ascii="Arial" w:cs="Arial" w:hAnsi="Arial"/>
          <w:sz w:val="22"/>
        </w:rPr>
        <w:t xml:space="preserve">【取数据函数】【其它函数】目录中带有"♠" 标识的API是 </w:t>
      </w:r>
      <w:r>
        <w:rPr>
          <w:rFonts w:eastAsia="Consolas" w:ascii="Consolas" w:cs="Consolas" w:hAnsi="Consolas"/>
          <w:sz w:val="22"/>
          <w:shd w:fill="EFF0F1"/>
        </w:rPr>
        <w:t>"回测环境/模拟"</w:t>
      </w:r>
      <w:r>
        <w:rPr>
          <w:rFonts w:eastAsia="等线" w:ascii="Arial" w:cs="Arial" w:hAnsi="Arial"/>
          <w:sz w:val="22"/>
        </w:rPr>
        <w:t>专用的API，</w:t>
      </w:r>
      <w:r>
        <w:rPr>
          <w:rFonts w:eastAsia="等线" w:ascii="Arial" w:cs="Arial" w:hAnsi="Arial"/>
          <w:b w:val="true"/>
          <w:sz w:val="22"/>
        </w:rPr>
        <w:t>不能在研究模块中调用</w:t>
      </w:r>
      <w:r>
        <w:rPr>
          <w:rFonts w:eastAsia="等线" w:ascii="Arial" w:cs="Arial" w:hAnsi="Arial"/>
          <w:sz w:val="22"/>
        </w:rPr>
        <w:t>。整个 【jqdata 模块】在研究环境与回测环境下都可以使用.</w:t>
      </w:r>
    </w:p>
    <w:p>
      <w:pPr>
        <w:numPr>
          <w:numId w:val="174"/>
        </w:numPr>
        <w:spacing w:before="120" w:after="120" w:line="288" w:lineRule="auto"/>
        <w:ind w:left="0"/>
        <w:jc w:val="left"/>
      </w:pPr>
      <w:r>
        <w:rPr>
          <w:rFonts w:eastAsia="等线" w:ascii="Arial" w:cs="Arial" w:hAnsi="Arial"/>
          <w:sz w:val="22"/>
        </w:rPr>
        <w:t>所有价格单位是元</w:t>
      </w:r>
    </w:p>
    <w:p>
      <w:pPr>
        <w:numPr>
          <w:numId w:val="175"/>
        </w:numPr>
        <w:spacing w:before="120" w:after="120" w:line="288" w:lineRule="auto"/>
        <w:ind w:left="0"/>
        <w:jc w:val="left"/>
      </w:pPr>
      <w:r>
        <w:rPr>
          <w:rFonts w:eastAsia="等线" w:ascii="Arial" w:cs="Arial" w:hAnsi="Arial"/>
          <w:sz w:val="22"/>
        </w:rPr>
        <w:t>时间表示:</w:t>
      </w:r>
    </w:p>
    <w:p>
      <w:pPr>
        <w:numPr>
          <w:numId w:val="176"/>
        </w:numPr>
        <w:spacing w:before="120" w:after="120" w:line="288" w:lineRule="auto"/>
        <w:ind w:left="453"/>
        <w:jc w:val="left"/>
      </w:pPr>
      <w:r>
        <w:rPr>
          <w:rFonts w:eastAsia="等线" w:ascii="Arial" w:cs="Arial" w:hAnsi="Arial"/>
          <w:sz w:val="22"/>
        </w:rPr>
        <w:t>所有时间都是北京时间, 时区:UTC+8</w:t>
      </w:r>
    </w:p>
    <w:p>
      <w:pPr>
        <w:numPr>
          <w:numId w:val="177"/>
        </w:numPr>
        <w:spacing w:before="120" w:after="120" w:line="288" w:lineRule="auto"/>
        <w:ind w:left="453"/>
        <w:jc w:val="left"/>
      </w:pPr>
      <w:r>
        <w:rPr>
          <w:rFonts w:eastAsia="等线" w:ascii="Arial" w:cs="Arial" w:hAnsi="Arial"/>
          <w:sz w:val="22"/>
        </w:rPr>
        <w:t>所有时间都是</w:t>
      </w:r>
      <w:hyperlink r:id="rId83">
        <w:r>
          <w:rPr>
            <w:rFonts w:eastAsia="等线" w:ascii="Arial" w:cs="Arial" w:hAnsi="Arial"/>
            <w:color w:val="3370ff"/>
            <w:sz w:val="22"/>
          </w:rPr>
          <w:t>datetime.datetime</w:t>
        </w:r>
      </w:hyperlink>
      <w:r>
        <w:rPr>
          <w:rFonts w:eastAsia="等线" w:ascii="Arial" w:cs="Arial" w:hAnsi="Arial"/>
          <w:sz w:val="22"/>
        </w:rPr>
        <w:t>对象</w:t>
      </w:r>
    </w:p>
    <w:p>
      <w:pPr>
        <w:numPr>
          <w:numId w:val="178"/>
        </w:numPr>
        <w:spacing w:before="120" w:after="120" w:line="288" w:lineRule="auto"/>
        <w:ind w:left="0"/>
        <w:jc w:val="left"/>
      </w:pPr>
      <w:r>
        <w:rPr>
          <w:rFonts w:eastAsia="等线" w:ascii="Arial" w:cs="Arial" w:hAnsi="Arial"/>
          <w:sz w:val="22"/>
        </w:rPr>
        <w:t>每个交易日结束时自动撤销所有未完成订单， 例如A股是在17:00之后。</w:t>
      </w:r>
    </w:p>
    <w:p>
      <w:pPr>
        <w:numPr>
          <w:numId w:val="179"/>
        </w:numPr>
        <w:spacing w:before="120" w:after="120" w:line="288" w:lineRule="auto"/>
        <w:ind w:left="0"/>
        <w:jc w:val="left"/>
      </w:pPr>
      <w:r>
        <w:rPr>
          <w:rFonts w:eastAsia="等线" w:ascii="Arial" w:cs="Arial" w:hAnsi="Arial"/>
          <w:sz w:val="22"/>
        </w:rPr>
        <w:t>下文中提到 Context, SecurityUnitData,  Portfolio,  Position,  Order 对象都是只读的, 尝试修改他们会报错或者无效.</w:t>
      </w:r>
    </w:p>
    <w:p>
      <w:pPr>
        <w:numPr>
          <w:numId w:val="180"/>
        </w:numPr>
        <w:spacing w:before="120" w:after="120" w:line="288" w:lineRule="auto"/>
        <w:ind w:left="0"/>
        <w:jc w:val="left"/>
      </w:pPr>
      <w:r>
        <w:rPr>
          <w:rFonts w:eastAsia="等线" w:ascii="Arial" w:cs="Arial" w:hAnsi="Arial"/>
          <w:sz w:val="22"/>
        </w:rPr>
        <w:t>没有python基础的同学请注意, 有的函数的定义中, 某些参数是有值的, 这个值是参数的默认值, 这个参数是可选的, 可以不传.</w:t>
      </w:r>
    </w:p>
    <w:p>
      <w:pPr>
        <w:numPr>
          <w:numId w:val="181"/>
        </w:numPr>
        <w:spacing w:before="120" w:after="120" w:line="288" w:lineRule="auto"/>
        <w:ind w:left="0"/>
        <w:jc w:val="left"/>
      </w:pPr>
      <w:r>
        <w:rPr>
          <w:rFonts w:eastAsia="等线" w:ascii="Arial" w:cs="Arial" w:hAnsi="Arial"/>
          <w:sz w:val="22"/>
        </w:rPr>
        <w:t>回测和模拟中，每日下单的最大数量为10000笔</w:t>
      </w:r>
    </w:p>
    <w:p>
      <w:pPr>
        <w:spacing w:before="120" w:after="120" w:line="288" w:lineRule="auto"/>
        <w:ind w:left="0"/>
        <w:jc w:val="left"/>
      </w:pPr>
      <w:r>
        <w:rPr>
          <w:rFonts w:eastAsia="等线" w:ascii="Arial" w:cs="Arial" w:hAnsi="Arial"/>
          <w:sz w:val="22"/>
        </w:rPr>
        <w:t>如需使用</w:t>
      </w:r>
      <w:r>
        <w:rPr>
          <w:rFonts w:eastAsia="等线" w:ascii="Arial" w:cs="Arial" w:hAnsi="Arial"/>
          <w:b w:val="true"/>
          <w:sz w:val="22"/>
        </w:rPr>
        <w:t>策略组合或分仓操作</w:t>
      </w:r>
      <w:r>
        <w:rPr>
          <w:rFonts w:eastAsia="等线" w:ascii="Arial" w:cs="Arial" w:hAnsi="Arial"/>
          <w:sz w:val="22"/>
        </w:rPr>
        <w:t>，请看</w:t>
      </w:r>
      <w:hyperlink r:id="rId84">
        <w:r>
          <w:rPr>
            <w:rFonts w:eastAsia="等线" w:ascii="Arial" w:cs="Arial" w:hAnsi="Arial"/>
            <w:color w:val="3370ff"/>
            <w:sz w:val="22"/>
          </w:rPr>
          <w:t>策略组合操作</w:t>
        </w:r>
      </w:hyperlink>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37" w:id="37"/>
      <w:r>
        <w:rPr>
          <w:rFonts w:eastAsia="等线" w:ascii="Arial" w:cs="Arial" w:hAnsi="Arial"/>
          <w:b w:val="true"/>
          <w:sz w:val="30"/>
        </w:rPr>
        <w:t>策略设置函数</w:t>
      </w:r>
      <w:bookmarkEnd w:id="37"/>
    </w:p>
    <w:p>
      <w:pPr>
        <w:spacing w:before="120" w:after="120" w:line="288" w:lineRule="auto"/>
        <w:ind w:left="0"/>
        <w:jc w:val="left"/>
      </w:pPr>
      <w:r>
        <w:rPr>
          <w:rFonts w:eastAsia="等线" w:ascii="Arial" w:cs="Arial" w:hAnsi="Arial"/>
          <w:sz w:val="22"/>
        </w:rPr>
        <w:t>名称描述</w:t>
      </w:r>
    </w:p>
    <w:p>
      <w:pPr>
        <w:spacing w:before="120" w:after="120" w:line="288" w:lineRule="auto"/>
        <w:ind w:left="0"/>
        <w:jc w:val="left"/>
      </w:pPr>
      <w:r>
        <w:rPr>
          <w:rFonts w:eastAsia="等线" w:ascii="Arial" w:cs="Arial" w:hAnsi="Arial"/>
          <w:sz w:val="22"/>
        </w:rPr>
        <w:t>set_benchmark  设置基准</w:t>
      </w:r>
    </w:p>
    <w:p>
      <w:pPr>
        <w:spacing w:before="120" w:after="120" w:line="288" w:lineRule="auto"/>
        <w:ind w:left="0"/>
        <w:jc w:val="left"/>
      </w:pPr>
      <w:r>
        <w:rPr>
          <w:rFonts w:eastAsia="等线" w:ascii="Arial" w:cs="Arial" w:hAnsi="Arial"/>
          <w:sz w:val="22"/>
        </w:rPr>
        <w:t>set_order_cost  设置佣金/印花税</w:t>
      </w:r>
    </w:p>
    <w:p>
      <w:pPr>
        <w:spacing w:before="120" w:after="120" w:line="288" w:lineRule="auto"/>
        <w:ind w:left="0"/>
        <w:jc w:val="left"/>
      </w:pPr>
      <w:r>
        <w:rPr>
          <w:rFonts w:eastAsia="等线" w:ascii="Arial" w:cs="Arial" w:hAnsi="Arial"/>
          <w:sz w:val="22"/>
        </w:rPr>
        <w:t>set_slippage  设置滑点</w:t>
      </w:r>
    </w:p>
    <w:p>
      <w:pPr>
        <w:spacing w:before="120" w:after="120" w:line="288" w:lineRule="auto"/>
        <w:ind w:left="0"/>
        <w:jc w:val="left"/>
      </w:pPr>
      <w:r>
        <w:rPr>
          <w:rFonts w:eastAsia="等线" w:ascii="Arial" w:cs="Arial" w:hAnsi="Arial"/>
          <w:sz w:val="22"/>
        </w:rPr>
        <w:t>use_real_price  设置动态复权(真实价格)模式，建议开启</w:t>
      </w:r>
    </w:p>
    <w:p>
      <w:pPr>
        <w:spacing w:before="120" w:after="120" w:line="288" w:lineRule="auto"/>
        <w:ind w:left="0"/>
        <w:jc w:val="left"/>
      </w:pPr>
      <w:r>
        <w:rPr>
          <w:rFonts w:eastAsia="等线" w:ascii="Arial" w:cs="Arial" w:hAnsi="Arial"/>
          <w:sz w:val="22"/>
        </w:rPr>
        <w:t>order_volume_ratio  设置成交量比例</w:t>
      </w:r>
    </w:p>
    <w:p>
      <w:pPr>
        <w:spacing w:before="120" w:after="120" w:line="288" w:lineRule="auto"/>
        <w:ind w:left="0"/>
        <w:jc w:val="left"/>
      </w:pPr>
      <w:r>
        <w:rPr>
          <w:rFonts w:eastAsia="等线" w:ascii="Arial" w:cs="Arial" w:hAnsi="Arial"/>
          <w:sz w:val="22"/>
        </w:rPr>
        <w:t>match_with_order_book  设置是否开启盘口撮合模式</w:t>
      </w:r>
    </w:p>
    <w:p>
      <w:pPr>
        <w:spacing w:before="120" w:after="120" w:line="288" w:lineRule="auto"/>
        <w:ind w:left="0"/>
        <w:jc w:val="left"/>
      </w:pPr>
      <w:r>
        <w:rPr>
          <w:rFonts w:eastAsia="等线" w:ascii="Arial" w:cs="Arial" w:hAnsi="Arial"/>
          <w:sz w:val="22"/>
        </w:rPr>
        <w:t>set_universe(history专用)  设定股票池</w:t>
      </w:r>
    </w:p>
    <w:p>
      <w:pPr>
        <w:spacing w:before="120" w:after="120" w:line="288" w:lineRule="auto"/>
        <w:ind w:left="0"/>
        <w:jc w:val="left"/>
      </w:pPr>
      <w:r>
        <w:rPr>
          <w:rFonts w:eastAsia="等线" w:ascii="Arial" w:cs="Arial" w:hAnsi="Arial"/>
          <w:strike w:val="true"/>
          <w:sz w:val="22"/>
        </w:rPr>
        <w:t>set_commission(已废弃)</w:t>
      </w:r>
      <w:r>
        <w:rPr>
          <w:rFonts w:eastAsia="等线" w:ascii="Arial" w:cs="Arial" w:hAnsi="Arial"/>
          <w:sz w:val="22"/>
        </w:rPr>
        <w:t>设定费率</w:t>
      </w:r>
    </w:p>
    <w:p>
      <w:pPr>
        <w:spacing w:before="120" w:after="120" w:line="288" w:lineRule="auto"/>
        <w:ind w:left="0"/>
        <w:jc w:val="left"/>
      </w:pPr>
      <w:r>
        <w:rPr>
          <w:rFonts w:eastAsia="等线" w:ascii="Arial" w:cs="Arial" w:hAnsi="Arial"/>
          <w:sz w:val="22"/>
        </w:rPr>
        <w:t>disable_cache 关闭缓存</w:t>
      </w:r>
    </w:p>
    <w:p>
      <w:pPr>
        <w:spacing w:before="120" w:after="120" w:line="288" w:lineRule="auto"/>
        <w:ind w:left="0"/>
        <w:jc w:val="left"/>
      </w:pPr>
      <w:r>
        <w:rPr>
          <w:rFonts w:eastAsia="等线" w:ascii="Arial" w:cs="Arial" w:hAnsi="Arial"/>
          <w:sz w:val="22"/>
        </w:rPr>
        <w:t>实验性设置项 实验性设置项</w:t>
      </w:r>
    </w:p>
    <w:p>
      <w:pPr>
        <w:spacing w:before="120" w:after="120" w:line="288" w:lineRule="auto"/>
        <w:ind w:left="0"/>
        <w:jc w:val="left"/>
      </w:pPr>
      <w:r>
        <w:rPr>
          <w:rFonts w:eastAsia="等线" w:ascii="Arial" w:cs="Arial" w:hAnsi="Arial"/>
          <w:sz w:val="22"/>
        </w:rPr>
        <w:t>avoid_future_data 设置是否开启避免未来数据模式</w:t>
      </w:r>
    </w:p>
    <w:p>
      <w:pPr>
        <w:pStyle w:val="3"/>
        <w:spacing w:before="300" w:after="120" w:line="288" w:lineRule="auto"/>
        <w:ind w:left="0"/>
        <w:jc w:val="left"/>
        <w:outlineLvl w:val="2"/>
      </w:pPr>
      <w:bookmarkStart w:name="heading_38" w:id="38"/>
      <w:r>
        <w:rPr>
          <w:rFonts w:eastAsia="等线" w:ascii="Arial" w:cs="Arial" w:hAnsi="Arial"/>
          <w:b w:val="true"/>
          <w:sz w:val="30"/>
        </w:rPr>
        <w:t>数据获取函数</w:t>
      </w:r>
      <w:bookmarkEnd w:id="38"/>
    </w:p>
    <w:p>
      <w:pPr>
        <w:spacing w:before="120" w:after="120" w:line="288" w:lineRule="auto"/>
        <w:ind w:left="0"/>
        <w:jc w:val="left"/>
      </w:pPr>
      <w:r>
        <w:rPr>
          <w:rFonts w:eastAsia="等线" w:ascii="Arial" w:cs="Arial" w:hAnsi="Arial"/>
          <w:sz w:val="22"/>
        </w:rPr>
        <w:t xml:space="preserve">   小提示：  </w:t>
      </w:r>
    </w:p>
    <w:p>
      <w:pPr>
        <w:numPr>
          <w:numId w:val="182"/>
        </w:numPr>
        <w:spacing w:before="120" w:after="120" w:line="288" w:lineRule="auto"/>
        <w:ind w:left="0"/>
        <w:jc w:val="left"/>
      </w:pPr>
      <w:r>
        <w:rPr>
          <w:rFonts w:eastAsia="等线" w:ascii="Arial" w:cs="Arial" w:hAnsi="Arial"/>
          <w:sz w:val="22"/>
        </w:rPr>
        <w:t>在日级策略中可以获取分钟级K线数据，反之亦然；</w:t>
      </w:r>
    </w:p>
    <w:p>
      <w:pPr>
        <w:numPr>
          <w:numId w:val="183"/>
        </w:numPr>
        <w:spacing w:before="120" w:after="120" w:line="288" w:lineRule="auto"/>
        <w:ind w:left="0"/>
        <w:jc w:val="left"/>
      </w:pPr>
      <w:r>
        <w:rPr>
          <w:rFonts w:eastAsia="等线" w:ascii="Arial" w:cs="Arial" w:hAnsi="Arial"/>
          <w:sz w:val="22"/>
        </w:rPr>
        <w:t>取多支标的的数据时，</w:t>
      </w:r>
      <w:r>
        <w:rPr>
          <w:rFonts w:eastAsia="等线" w:ascii="Arial" w:cs="Arial" w:hAnsi="Arial"/>
          <w:b w:val="true"/>
          <w:sz w:val="22"/>
        </w:rPr>
        <w:t>不要获取交易时段不同的标的（例如：不同交易时间的期货标的）</w:t>
      </w:r>
      <w:r>
        <w:rPr>
          <w:rFonts w:eastAsia="等线" w:ascii="Arial" w:cs="Arial" w:hAnsi="Arial"/>
          <w:sz w:val="22"/>
        </w:rPr>
        <w:t>，否则会报错；</w:t>
      </w:r>
    </w:p>
    <w:p>
      <w:pPr>
        <w:numPr>
          <w:numId w:val="184"/>
        </w:numPr>
        <w:spacing w:before="120" w:after="120" w:line="288" w:lineRule="auto"/>
        <w:ind w:left="0"/>
        <w:jc w:val="left"/>
      </w:pPr>
      <w:r>
        <w:rPr>
          <w:rFonts w:eastAsia="等线" w:ascii="Arial" w:cs="Arial" w:hAnsi="Arial"/>
          <w:sz w:val="22"/>
        </w:rPr>
        <w:t>天、分钟、tick行情里成交量单位是股，复权数据中成交量也是复权后的成交量；</w:t>
      </w:r>
    </w:p>
    <w:p>
      <w:pPr>
        <w:numPr>
          <w:numId w:val="185"/>
        </w:numPr>
        <w:spacing w:before="120" w:after="120" w:line="288" w:lineRule="auto"/>
        <w:ind w:left="0"/>
        <w:jc w:val="left"/>
      </w:pPr>
      <w:r>
        <w:rPr>
          <w:rFonts w:eastAsia="等线" w:ascii="Arial" w:cs="Arial" w:hAnsi="Arial"/>
          <w:b w:val="true"/>
          <w:sz w:val="22"/>
        </w:rPr>
        <w:t>更多数据，请访问</w:t>
      </w:r>
      <w:hyperlink r:id="rId85">
        <w:r>
          <w:rPr>
            <w:rFonts w:eastAsia="等线" w:ascii="Arial" w:cs="Arial" w:hAnsi="Arial"/>
            <w:b w:val="true"/>
            <w:color w:val="3370ff"/>
            <w:sz w:val="22"/>
          </w:rPr>
          <w:t>数据</w:t>
        </w:r>
      </w:hyperlink>
      <w:r>
        <w:rPr>
          <w:rFonts w:eastAsia="等线" w:ascii="Arial" w:cs="Arial" w:hAnsi="Arial"/>
          <w:b w:val="true"/>
          <w:sz w:val="22"/>
        </w:rPr>
        <w:t>页面查看</w:t>
      </w:r>
      <w:r>
        <w:rPr>
          <w:rFonts w:eastAsia="等线" w:ascii="Arial" w:cs="Arial" w:hAnsi="Arial"/>
          <w:sz w:val="22"/>
        </w:rPr>
        <w:t>。</w:t>
      </w:r>
    </w:p>
    <w:p>
      <w:pPr>
        <w:numPr>
          <w:numId w:val="186"/>
        </w:numPr>
        <w:spacing w:before="120" w:after="120" w:line="288" w:lineRule="auto"/>
        <w:ind w:left="0"/>
        <w:jc w:val="left"/>
      </w:pPr>
      <w:hyperlink r:id="rId86">
        <w:r>
          <w:rPr>
            <w:rFonts w:eastAsia="等线" w:ascii="Arial" w:cs="Arial" w:hAnsi="Arial"/>
            <w:color w:val="3370ff"/>
            <w:sz w:val="22"/>
          </w:rPr>
          <w:t>聚宽目前提供哪些数据及数据更新频率</w:t>
        </w:r>
      </w:hyperlink>
    </w:p>
    <w:p>
      <w:pPr>
        <w:numPr>
          <w:numId w:val="187"/>
        </w:numPr>
        <w:spacing w:before="120" w:after="120" w:line="288" w:lineRule="auto"/>
        <w:ind w:left="0"/>
        <w:jc w:val="left"/>
      </w:pPr>
      <w:r>
        <w:rPr>
          <w:rFonts w:eastAsia="等线" w:ascii="Arial" w:cs="Arial" w:hAnsi="Arial"/>
          <w:sz w:val="22"/>
        </w:rPr>
        <w:t>获取频率非一天或者非一分钟的数据，请使用get_bars.</w:t>
      </w:r>
    </w:p>
    <w:p>
      <w:pPr>
        <w:numPr>
          <w:numId w:val="188"/>
        </w:numPr>
        <w:spacing w:before="120" w:after="120" w:line="288" w:lineRule="auto"/>
        <w:ind w:left="0"/>
        <w:jc w:val="left"/>
      </w:pPr>
      <w:r>
        <w:rPr>
          <w:rFonts w:eastAsia="等线" w:ascii="Arial" w:cs="Arial" w:hAnsi="Arial"/>
          <w:sz w:val="22"/>
        </w:rPr>
        <w:t>获取数据参考教程：</w:t>
        <w:br/>
      </w:r>
      <w:hyperlink r:id="rId87">
        <w:r>
          <w:rPr>
            <w:rFonts w:eastAsia="等线" w:ascii="Arial" w:cs="Arial" w:hAnsi="Arial"/>
            <w:color w:val="3370ff"/>
            <w:sz w:val="22"/>
          </w:rPr>
          <w:t>聚宽新手指南-获取数据教程</w:t>
        </w:r>
      </w:hyperlink>
      <w:r>
        <w:rPr>
          <w:rFonts w:eastAsia="等线" w:ascii="Arial" w:cs="Arial" w:hAnsi="Arial"/>
          <w:sz w:val="22"/>
        </w:rPr>
        <w:br/>
      </w:r>
      <w:hyperlink r:id="rId88">
        <w:r>
          <w:rPr>
            <w:rFonts w:eastAsia="等线" w:ascii="Arial" w:cs="Arial" w:hAnsi="Arial"/>
            <w:color w:val="3370ff"/>
            <w:sz w:val="22"/>
          </w:rPr>
          <w:t>数据相关教程</w:t>
        </w:r>
      </w:hyperlink>
      <w:r>
        <w:rPr>
          <w:rFonts w:eastAsia="等线" w:ascii="Arial" w:cs="Arial" w:hAnsi="Arial"/>
          <w:sz w:val="22"/>
        </w:rPr>
        <w:br/>
      </w:r>
      <w:hyperlink r:id="rId89">
        <w:r>
          <w:rPr>
            <w:rFonts w:eastAsia="等线" w:ascii="Arial" w:cs="Arial" w:hAnsi="Arial"/>
            <w:color w:val="3370ff"/>
            <w:sz w:val="22"/>
          </w:rPr>
          <w:t>Query及查询财务数据的简单教程</w:t>
        </w:r>
      </w:hyperlink>
      <w:r>
        <w:rPr>
          <w:rFonts w:eastAsia="等线" w:ascii="Arial" w:cs="Arial" w:hAnsi="Arial"/>
          <w:sz w:val="22"/>
        </w:rPr>
        <w:br/>
      </w:r>
      <w:hyperlink r:id="rId90">
        <w:r>
          <w:rPr>
            <w:rFonts w:eastAsia="等线" w:ascii="Arial" w:cs="Arial" w:hAnsi="Arial"/>
            <w:color w:val="3370ff"/>
            <w:sz w:val="22"/>
          </w:rPr>
          <w:t>数据常见疑问汇总</w:t>
        </w:r>
      </w:hyperlink>
      <w:r>
        <w:rPr>
          <w:rFonts w:eastAsia="等线" w:ascii="Arial" w:cs="Arial" w:hAnsi="Arial"/>
          <w:sz w:val="22"/>
        </w:rPr>
        <w:br/>
      </w:r>
      <w:hyperlink r:id="rId91">
        <w:r>
          <w:rPr>
            <w:rFonts w:eastAsia="等线" w:ascii="Arial" w:cs="Arial" w:hAnsi="Arial"/>
            <w:color w:val="3370ff"/>
            <w:sz w:val="22"/>
          </w:rPr>
          <w:t>数据获取问题快问快答</w:t>
        </w:r>
      </w:hyperlink>
      <w:r>
        <w:rPr>
          <w:rFonts w:eastAsia="等线" w:ascii="Arial" w:cs="Arial" w:hAnsi="Arial"/>
          <w:sz w:val="22"/>
        </w:rPr>
        <w:br/>
      </w:r>
      <w:hyperlink r:id="rId92">
        <w:r>
          <w:rPr>
            <w:rFonts w:eastAsia="等线" w:ascii="Arial" w:cs="Arial" w:hAnsi="Arial"/>
            <w:color w:val="3370ff"/>
            <w:sz w:val="22"/>
          </w:rPr>
          <w:t>JQData安装的问题</w:t>
        </w:r>
      </w:hyperlink>
      <w:r>
        <w:rPr>
          <w:rFonts w:eastAsia="等线" w:ascii="Arial" w:cs="Arial" w:hAnsi="Arial"/>
          <w:sz w:val="22"/>
        </w:rPr>
        <w:br/>
      </w:r>
      <w:hyperlink r:id="rId93">
        <w:r>
          <w:rPr>
            <w:rFonts w:eastAsia="等线" w:ascii="Arial" w:cs="Arial" w:hAnsi="Arial"/>
            <w:color w:val="3370ff"/>
            <w:sz w:val="22"/>
          </w:rPr>
          <w:t>常用数据获取及计算系列</w:t>
        </w:r>
      </w:hyperlink>
      <w:r>
        <w:rPr>
          <w:rFonts w:eastAsia="等线" w:ascii="Arial" w:cs="Arial" w:hAnsi="Arial"/>
          <w:sz w:val="22"/>
        </w:rPr>
        <w:br/>
      </w:r>
      <w:hyperlink r:id="rId94">
        <w:r>
          <w:rPr>
            <w:rFonts w:eastAsia="等线" w:ascii="Arial" w:cs="Arial" w:hAnsi="Arial"/>
            <w:color w:val="3370ff"/>
            <w:sz w:val="22"/>
          </w:rPr>
          <w:t>外部数据获取及分享</w:t>
        </w:r>
      </w:hyperlink>
      <w:r>
        <w:rPr>
          <w:rFonts w:eastAsia="等线" w:ascii="Arial" w:cs="Arial" w:hAnsi="Arial"/>
          <w:sz w:val="22"/>
        </w:rPr>
        <w:br/>
      </w:r>
      <w:hyperlink r:id="rId95">
        <w:r>
          <w:rPr>
            <w:rFonts w:eastAsia="等线" w:ascii="Arial" w:cs="Arial" w:hAnsi="Arial"/>
            <w:color w:val="3370ff"/>
            <w:sz w:val="22"/>
          </w:rPr>
          <w:t>【集合贴】数据相关</w:t>
        </w:r>
      </w:hyperlink>
      <w:r>
        <w:rPr>
          <w:rFonts w:eastAsia="等线" w:ascii="Arial" w:cs="Arial" w:hAnsi="Arial"/>
          <w:sz w:val="22"/>
        </w:rPr>
        <w:br/>
      </w:r>
      <w:hyperlink r:id="rId96">
        <w:r>
          <w:rPr>
            <w:rFonts w:eastAsia="等线" w:ascii="Arial" w:cs="Arial" w:hAnsi="Arial"/>
            <w:color w:val="3370ff"/>
            <w:sz w:val="22"/>
          </w:rPr>
          <w:t>【API解析】有关数据获取方法</w:t>
        </w:r>
      </w:hyperlink>
      <w:r>
        <w:rPr>
          <w:rFonts w:eastAsia="等线" w:ascii="Arial" w:cs="Arial" w:hAnsi="Arial"/>
          <w:sz w:val="22"/>
        </w:rPr>
        <w:br/>
      </w:r>
      <w:hyperlink r:id="rId97">
        <w:r>
          <w:rPr>
            <w:rFonts w:eastAsia="等线" w:ascii="Arial" w:cs="Arial" w:hAnsi="Arial"/>
            <w:color w:val="3370ff"/>
            <w:sz w:val="22"/>
          </w:rPr>
          <w:t>【API解析】get_bars 定义和逻辑</w:t>
        </w:r>
      </w:hyperlink>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名称描述</w:t>
      </w:r>
    </w:p>
    <w:p>
      <w:pPr>
        <w:spacing w:before="120" w:after="120" w:line="288" w:lineRule="auto"/>
        <w:ind w:left="0"/>
        <w:jc w:val="left"/>
      </w:pPr>
      <w:r>
        <w:rPr>
          <w:rFonts w:eastAsia="等线" w:ascii="Arial" w:cs="Arial" w:hAnsi="Arial"/>
          <w:sz w:val="22"/>
        </w:rPr>
        <w:t>get_price  获取历史数据，可查询多个标的多个数据字段，返回数据格式为 DataFrame</w:t>
      </w:r>
    </w:p>
    <w:p>
      <w:pPr>
        <w:spacing w:before="120" w:after="120" w:line="288" w:lineRule="auto"/>
        <w:ind w:left="0"/>
        <w:jc w:val="left"/>
      </w:pPr>
      <w:r>
        <w:rPr>
          <w:rFonts w:eastAsia="等线" w:ascii="Arial" w:cs="Arial" w:hAnsi="Arial"/>
          <w:sz w:val="22"/>
        </w:rPr>
        <w:t>history  获取历史数据，可查询多个标的单个数据字段，返回数据格式为 DataFrame 或 Dict(字典)</w:t>
      </w:r>
    </w:p>
    <w:p>
      <w:pPr>
        <w:spacing w:before="120" w:after="120" w:line="288" w:lineRule="auto"/>
        <w:ind w:left="0"/>
        <w:jc w:val="left"/>
      </w:pPr>
      <w:r>
        <w:rPr>
          <w:rFonts w:eastAsia="等线" w:ascii="Arial" w:cs="Arial" w:hAnsi="Arial"/>
          <w:sz w:val="22"/>
        </w:rPr>
        <w:t>attribute_history  获取历史数据，可查询单个标的多个数据字段，返回数据格式为 DataFrame 或 Dict(字典)</w:t>
      </w:r>
    </w:p>
    <w:p>
      <w:pPr>
        <w:spacing w:before="120" w:after="120" w:line="288" w:lineRule="auto"/>
        <w:ind w:left="0"/>
        <w:jc w:val="left"/>
      </w:pPr>
      <w:r>
        <w:rPr>
          <w:rFonts w:eastAsia="等线" w:ascii="Arial" w:cs="Arial" w:hAnsi="Arial"/>
          <w:sz w:val="22"/>
        </w:rPr>
        <w:t>get_bars 获取历史数据(包含快照数据)，可查询单个或多个标的多个数据字段，返回数据格式为 numpy.ndarray或DataFrame</w:t>
      </w:r>
    </w:p>
    <w:p>
      <w:pPr>
        <w:spacing w:before="120" w:after="120" w:line="288" w:lineRule="auto"/>
        <w:ind w:left="0"/>
        <w:jc w:val="left"/>
      </w:pPr>
      <w:r>
        <w:rPr>
          <w:rFonts w:eastAsia="等线" w:ascii="Arial" w:cs="Arial" w:hAnsi="Arial"/>
          <w:sz w:val="22"/>
        </w:rPr>
        <w:t>get_current_tick♠ 获取最新的 tick 数据</w:t>
      </w:r>
    </w:p>
    <w:p>
      <w:pPr>
        <w:spacing w:before="120" w:after="120" w:line="288" w:lineRule="auto"/>
        <w:ind w:left="0"/>
        <w:jc w:val="left"/>
      </w:pPr>
      <w:r>
        <w:rPr>
          <w:rFonts w:eastAsia="等线" w:ascii="Arial" w:cs="Arial" w:hAnsi="Arial"/>
          <w:sz w:val="22"/>
        </w:rPr>
        <w:t>get_ticks  获取股票、期货、50ETF期权、股票指数及场内基金的 tick 数据</w:t>
      </w:r>
    </w:p>
    <w:p>
      <w:pPr>
        <w:spacing w:before="120" w:after="120" w:line="288" w:lineRule="auto"/>
        <w:ind w:left="0"/>
        <w:jc w:val="left"/>
      </w:pPr>
      <w:r>
        <w:rPr>
          <w:rFonts w:eastAsia="等线" w:ascii="Arial" w:cs="Arial" w:hAnsi="Arial"/>
          <w:sz w:val="22"/>
        </w:rPr>
        <w:t>get_current_data ♠  获取当前时间数据</w:t>
      </w:r>
    </w:p>
    <w:p>
      <w:pPr>
        <w:spacing w:before="120" w:after="120" w:line="288" w:lineRule="auto"/>
        <w:ind w:left="0"/>
        <w:jc w:val="left"/>
      </w:pPr>
      <w:r>
        <w:rPr>
          <w:rFonts w:eastAsia="等线" w:ascii="Arial" w:cs="Arial" w:hAnsi="Arial"/>
          <w:sz w:val="22"/>
        </w:rPr>
        <w:t>get_extras  获取基金单位/累计净值，期货结算价/持仓量等</w:t>
      </w:r>
    </w:p>
    <w:p>
      <w:pPr>
        <w:spacing w:before="120" w:after="120" w:line="288" w:lineRule="auto"/>
        <w:ind w:left="0"/>
        <w:jc w:val="left"/>
      </w:pPr>
      <w:r>
        <w:rPr>
          <w:rFonts w:eastAsia="等线" w:ascii="Arial" w:cs="Arial" w:hAnsi="Arial"/>
          <w:sz w:val="22"/>
        </w:rPr>
        <w:t>get_all_factors  获取聚宽因子库中所有因子的信息</w:t>
      </w:r>
    </w:p>
    <w:p>
      <w:pPr>
        <w:spacing w:before="120" w:after="120" w:line="288" w:lineRule="auto"/>
        <w:ind w:left="0"/>
        <w:jc w:val="left"/>
      </w:pPr>
      <w:r>
        <w:rPr>
          <w:rFonts w:eastAsia="等线" w:ascii="Arial" w:cs="Arial" w:hAnsi="Arial"/>
          <w:sz w:val="22"/>
        </w:rPr>
        <w:t>get_factor_values  质量、基础、情绪、成长、风险、每股等数百个因子数据</w:t>
      </w:r>
    </w:p>
    <w:p>
      <w:pPr>
        <w:spacing w:before="120" w:after="120" w:line="288" w:lineRule="auto"/>
        <w:ind w:left="0"/>
        <w:jc w:val="left"/>
      </w:pPr>
      <w:r>
        <w:rPr>
          <w:rFonts w:eastAsia="等线" w:ascii="Arial" w:cs="Arial" w:hAnsi="Arial"/>
          <w:sz w:val="22"/>
        </w:rPr>
        <w:t>get_factor_kanban_values  获取因子看板列表数据</w:t>
      </w:r>
    </w:p>
    <w:p>
      <w:pPr>
        <w:spacing w:before="120" w:after="120" w:line="288" w:lineRule="auto"/>
        <w:ind w:left="0"/>
        <w:jc w:val="left"/>
      </w:pPr>
      <w:r>
        <w:rPr>
          <w:rFonts w:eastAsia="等线" w:ascii="Arial" w:cs="Arial" w:hAnsi="Arial"/>
          <w:sz w:val="22"/>
        </w:rPr>
        <w:t>get_fundamentals  查询财务数据</w:t>
      </w:r>
    </w:p>
    <w:p>
      <w:pPr>
        <w:spacing w:before="120" w:after="120" w:line="288" w:lineRule="auto"/>
        <w:ind w:left="0"/>
        <w:jc w:val="left"/>
      </w:pPr>
      <w:r>
        <w:rPr>
          <w:rFonts w:eastAsia="等线" w:ascii="Arial" w:cs="Arial" w:hAnsi="Arial"/>
          <w:sz w:val="22"/>
        </w:rPr>
        <w:t>get_fundamentals_continuously  查询多日的财务数据</w:t>
      </w:r>
    </w:p>
    <w:p>
      <w:pPr>
        <w:spacing w:before="120" w:after="120" w:line="288" w:lineRule="auto"/>
        <w:ind w:left="0"/>
        <w:jc w:val="left"/>
      </w:pPr>
      <w:r>
        <w:rPr>
          <w:rFonts w:eastAsia="等线" w:ascii="Arial" w:cs="Arial" w:hAnsi="Arial"/>
          <w:sz w:val="22"/>
        </w:rPr>
        <w:t>finance.run_query 深沪港通股东信息等数据</w:t>
      </w:r>
    </w:p>
    <w:p>
      <w:pPr>
        <w:spacing w:before="120" w:after="120" w:line="288" w:lineRule="auto"/>
        <w:ind w:left="0"/>
        <w:jc w:val="left"/>
      </w:pPr>
      <w:r>
        <w:rPr>
          <w:rFonts w:eastAsia="等线" w:ascii="Arial" w:cs="Arial" w:hAnsi="Arial"/>
          <w:sz w:val="22"/>
        </w:rPr>
        <w:t>macro.run_query  获取聚宽宏观经济数据</w:t>
      </w:r>
    </w:p>
    <w:p>
      <w:pPr>
        <w:spacing w:before="120" w:after="120" w:line="288" w:lineRule="auto"/>
        <w:ind w:left="0"/>
        <w:jc w:val="left"/>
      </w:pPr>
      <w:r>
        <w:rPr>
          <w:rFonts w:eastAsia="等线" w:ascii="Arial" w:cs="Arial" w:hAnsi="Arial"/>
          <w:sz w:val="22"/>
        </w:rPr>
        <w:t>get_billboard_list   获取龙虎榜数据</w:t>
      </w:r>
    </w:p>
    <w:p>
      <w:pPr>
        <w:spacing w:before="120" w:after="120" w:line="288" w:lineRule="auto"/>
        <w:ind w:left="0"/>
        <w:jc w:val="left"/>
      </w:pPr>
      <w:r>
        <w:rPr>
          <w:rFonts w:eastAsia="等线" w:ascii="Arial" w:cs="Arial" w:hAnsi="Arial"/>
          <w:sz w:val="22"/>
        </w:rPr>
        <w:t>get_index_stocks  获取指数成份股</w:t>
      </w:r>
    </w:p>
    <w:p>
      <w:pPr>
        <w:spacing w:before="120" w:after="120" w:line="288" w:lineRule="auto"/>
        <w:ind w:left="0"/>
        <w:jc w:val="left"/>
      </w:pPr>
      <w:r>
        <w:rPr>
          <w:rFonts w:eastAsia="等线" w:ascii="Arial" w:cs="Arial" w:hAnsi="Arial"/>
          <w:sz w:val="22"/>
        </w:rPr>
        <w:t>get_index_weights获取指数成分股权重</w:t>
      </w:r>
    </w:p>
    <w:p>
      <w:pPr>
        <w:spacing w:before="120" w:after="120" w:line="288" w:lineRule="auto"/>
        <w:ind w:left="0"/>
        <w:jc w:val="left"/>
      </w:pPr>
      <w:r>
        <w:rPr>
          <w:rFonts w:eastAsia="等线" w:ascii="Arial" w:cs="Arial" w:hAnsi="Arial"/>
          <w:sz w:val="22"/>
        </w:rPr>
        <w:t>get_industry_stocks  获取行业成份股</w:t>
      </w:r>
    </w:p>
    <w:p>
      <w:pPr>
        <w:spacing w:before="120" w:after="120" w:line="288" w:lineRule="auto"/>
        <w:ind w:left="0"/>
        <w:jc w:val="left"/>
      </w:pPr>
      <w:r>
        <w:rPr>
          <w:rFonts w:eastAsia="等线" w:ascii="Arial" w:cs="Arial" w:hAnsi="Arial"/>
          <w:sz w:val="22"/>
        </w:rPr>
        <w:t>get_concept_stocks  获取概念成份股</w:t>
      </w:r>
    </w:p>
    <w:p>
      <w:pPr>
        <w:spacing w:before="120" w:after="120" w:line="288" w:lineRule="auto"/>
        <w:ind w:left="0"/>
        <w:jc w:val="left"/>
      </w:pPr>
      <w:r>
        <w:rPr>
          <w:rFonts w:eastAsia="等线" w:ascii="Arial" w:cs="Arial" w:hAnsi="Arial"/>
          <w:sz w:val="22"/>
        </w:rPr>
        <w:t>get_industries  获取行业列表</w:t>
      </w:r>
    </w:p>
    <w:p>
      <w:pPr>
        <w:spacing w:before="120" w:after="120" w:line="288" w:lineRule="auto"/>
        <w:ind w:left="0"/>
        <w:jc w:val="left"/>
      </w:pPr>
      <w:r>
        <w:rPr>
          <w:rFonts w:eastAsia="等线" w:ascii="Arial" w:cs="Arial" w:hAnsi="Arial"/>
          <w:sz w:val="22"/>
        </w:rPr>
        <w:t>get_concepts  获取概念列表</w:t>
      </w:r>
    </w:p>
    <w:p>
      <w:pPr>
        <w:spacing w:before="120" w:after="120" w:line="288" w:lineRule="auto"/>
        <w:ind w:left="0"/>
        <w:jc w:val="left"/>
      </w:pPr>
      <w:r>
        <w:rPr>
          <w:rFonts w:eastAsia="等线" w:ascii="Arial" w:cs="Arial" w:hAnsi="Arial"/>
          <w:sz w:val="22"/>
        </w:rPr>
        <w:t>get_all_securities  获取所有标的信息</w:t>
      </w:r>
    </w:p>
    <w:p>
      <w:pPr>
        <w:spacing w:before="120" w:after="120" w:line="288" w:lineRule="auto"/>
        <w:ind w:left="0"/>
        <w:jc w:val="left"/>
      </w:pPr>
      <w:r>
        <w:rPr>
          <w:rFonts w:eastAsia="等线" w:ascii="Arial" w:cs="Arial" w:hAnsi="Arial"/>
          <w:sz w:val="22"/>
        </w:rPr>
        <w:t>get_security_info  获取单个标的信息</w:t>
      </w:r>
    </w:p>
    <w:p>
      <w:pPr>
        <w:spacing w:before="120" w:after="120" w:line="288" w:lineRule="auto"/>
        <w:ind w:left="0"/>
        <w:jc w:val="left"/>
      </w:pPr>
      <w:r>
        <w:rPr>
          <w:rFonts w:eastAsia="等线" w:ascii="Arial" w:cs="Arial" w:hAnsi="Arial"/>
          <w:sz w:val="22"/>
        </w:rPr>
        <w:t>get_industry查询股票所属行业</w:t>
      </w:r>
    </w:p>
    <w:p>
      <w:pPr>
        <w:spacing w:before="120" w:after="120" w:line="288" w:lineRule="auto"/>
        <w:ind w:left="0"/>
        <w:jc w:val="left"/>
      </w:pPr>
      <w:r>
        <w:rPr>
          <w:rFonts w:eastAsia="等线" w:ascii="Arial" w:cs="Arial" w:hAnsi="Arial"/>
          <w:sz w:val="22"/>
        </w:rPr>
        <w:t>get_all_trade_days  获取所有交易日</w:t>
      </w:r>
    </w:p>
    <w:p>
      <w:pPr>
        <w:spacing w:before="120" w:after="120" w:line="288" w:lineRule="auto"/>
        <w:ind w:left="0"/>
        <w:jc w:val="left"/>
      </w:pPr>
      <w:r>
        <w:rPr>
          <w:rFonts w:eastAsia="等线" w:ascii="Arial" w:cs="Arial" w:hAnsi="Arial"/>
          <w:sz w:val="22"/>
        </w:rPr>
        <w:t>get_trade_days  获取指定范围交易日</w:t>
      </w:r>
    </w:p>
    <w:p>
      <w:pPr>
        <w:spacing w:before="120" w:after="120" w:line="288" w:lineRule="auto"/>
        <w:ind w:left="0"/>
        <w:jc w:val="left"/>
      </w:pPr>
      <w:r>
        <w:rPr>
          <w:rFonts w:eastAsia="等线" w:ascii="Arial" w:cs="Arial" w:hAnsi="Arial"/>
          <w:sz w:val="22"/>
        </w:rPr>
        <w:t>get_money_flow  获取资金流信息</w:t>
      </w:r>
    </w:p>
    <w:p>
      <w:pPr>
        <w:spacing w:before="120" w:after="120" w:line="288" w:lineRule="auto"/>
        <w:ind w:left="0"/>
        <w:jc w:val="left"/>
      </w:pPr>
      <w:r>
        <w:rPr>
          <w:rFonts w:eastAsia="等线" w:ascii="Arial" w:cs="Arial" w:hAnsi="Arial"/>
          <w:sz w:val="22"/>
        </w:rPr>
        <w:t>get_concept获取股票所属概念板块</w:t>
      </w:r>
    </w:p>
    <w:p>
      <w:pPr>
        <w:spacing w:before="120" w:after="120" w:line="288" w:lineRule="auto"/>
        <w:ind w:left="0"/>
        <w:jc w:val="left"/>
      </w:pPr>
      <w:r>
        <w:rPr>
          <w:rFonts w:eastAsia="等线" w:ascii="Arial" w:cs="Arial" w:hAnsi="Arial"/>
          <w:sz w:val="22"/>
        </w:rPr>
        <w:t>get_call_auction获取指定时间区间内集合竞价时的 tick 数据</w:t>
      </w:r>
    </w:p>
    <w:p>
      <w:pPr>
        <w:spacing w:before="120" w:after="120" w:line="288" w:lineRule="auto"/>
        <w:ind w:left="0"/>
        <w:jc w:val="left"/>
      </w:pPr>
      <w:r>
        <w:rPr>
          <w:rFonts w:eastAsia="等线" w:ascii="Arial" w:cs="Arial" w:hAnsi="Arial"/>
          <w:sz w:val="22"/>
        </w:rPr>
        <w:t>get_trade_day根据标的获取指定时刻标的对应的交易日</w:t>
      </w:r>
    </w:p>
    <w:p>
      <w:pPr>
        <w:spacing w:before="120" w:after="120" w:line="288" w:lineRule="auto"/>
        <w:ind w:left="0"/>
        <w:jc w:val="left"/>
      </w:pPr>
      <w:r>
        <w:rPr>
          <w:rFonts w:eastAsia="等线" w:ascii="Arial" w:cs="Arial" w:hAnsi="Arial"/>
          <w:sz w:val="22"/>
        </w:rPr>
        <w:t>get_history_fundamentals获取多个季度/年度的历史财务数据</w:t>
      </w:r>
    </w:p>
    <w:p>
      <w:pPr>
        <w:spacing w:before="120" w:after="120" w:line="288" w:lineRule="auto"/>
        <w:ind w:left="0"/>
        <w:jc w:val="left"/>
      </w:pPr>
      <w:r>
        <w:rPr>
          <w:rFonts w:eastAsia="等线" w:ascii="Arial" w:cs="Arial" w:hAnsi="Arial"/>
          <w:sz w:val="22"/>
        </w:rPr>
        <w:t>get_valuation  获取多个标的在指定交易日范围内的市值表数据</w:t>
      </w:r>
    </w:p>
    <w:p>
      <w:pPr>
        <w:pStyle w:val="3"/>
        <w:spacing w:before="300" w:after="120" w:line="288" w:lineRule="auto"/>
        <w:ind w:left="0"/>
        <w:jc w:val="left"/>
        <w:outlineLvl w:val="2"/>
      </w:pPr>
      <w:bookmarkStart w:name="heading_39" w:id="39"/>
      <w:r>
        <w:rPr>
          <w:rFonts w:eastAsia="等线" w:ascii="Arial" w:cs="Arial" w:hAnsi="Arial"/>
          <w:b w:val="true"/>
          <w:sz w:val="30"/>
        </w:rPr>
        <w:t>jqlib</w:t>
      </w:r>
      <w:bookmarkEnd w:id="39"/>
    </w:p>
    <w:p>
      <w:pPr>
        <w:spacing w:before="120" w:after="120" w:line="288" w:lineRule="auto"/>
        <w:ind w:left="0"/>
        <w:jc w:val="left"/>
      </w:pPr>
    </w:p>
    <w:p>
      <w:pPr>
        <w:spacing w:before="120" w:after="120" w:line="288" w:lineRule="auto"/>
        <w:ind w:left="0"/>
        <w:jc w:val="left"/>
      </w:pPr>
      <w:r>
        <w:rPr>
          <w:rFonts w:eastAsia="等线" w:ascii="Arial" w:cs="Arial" w:hAnsi="Arial"/>
          <w:sz w:val="22"/>
        </w:rPr>
        <w:t>名称描述</w:t>
      </w:r>
    </w:p>
    <w:p>
      <w:pPr>
        <w:spacing w:before="120" w:after="120" w:line="288" w:lineRule="auto"/>
        <w:ind w:left="0"/>
        <w:jc w:val="left"/>
      </w:pPr>
      <w:r>
        <w:rPr>
          <w:rFonts w:eastAsia="等线" w:ascii="Arial" w:cs="Arial" w:hAnsi="Arial"/>
          <w:sz w:val="22"/>
        </w:rPr>
        <w:t>alpha101  Alpha 101 因子</w:t>
      </w:r>
    </w:p>
    <w:p>
      <w:pPr>
        <w:spacing w:before="120" w:after="120" w:line="288" w:lineRule="auto"/>
        <w:ind w:left="0"/>
        <w:jc w:val="left"/>
      </w:pPr>
      <w:r>
        <w:rPr>
          <w:rFonts w:eastAsia="等线" w:ascii="Arial" w:cs="Arial" w:hAnsi="Arial"/>
          <w:sz w:val="22"/>
        </w:rPr>
        <w:t>alpha191  Alpha 191 因子</w:t>
      </w:r>
    </w:p>
    <w:p>
      <w:pPr>
        <w:spacing w:before="120" w:after="120" w:line="288" w:lineRule="auto"/>
        <w:ind w:left="0"/>
        <w:jc w:val="left"/>
      </w:pPr>
      <w:r>
        <w:rPr>
          <w:rFonts w:eastAsia="等线" w:ascii="Arial" w:cs="Arial" w:hAnsi="Arial"/>
          <w:sz w:val="22"/>
        </w:rPr>
        <w:t>technical_analysis  技术分析指标</w:t>
      </w:r>
    </w:p>
    <w:p>
      <w:pPr>
        <w:pStyle w:val="3"/>
        <w:spacing w:before="300" w:after="120" w:line="288" w:lineRule="auto"/>
        <w:ind w:left="0"/>
        <w:jc w:val="left"/>
        <w:outlineLvl w:val="2"/>
      </w:pPr>
      <w:bookmarkStart w:name="heading_40" w:id="40"/>
      <w:r>
        <w:rPr>
          <w:rFonts w:eastAsia="等线" w:ascii="Arial" w:cs="Arial" w:hAnsi="Arial"/>
          <w:b w:val="true"/>
          <w:sz w:val="30"/>
        </w:rPr>
        <w:t>数据处理函数</w:t>
      </w:r>
      <w:bookmarkEnd w:id="40"/>
    </w:p>
    <w:p>
      <w:pPr>
        <w:spacing w:before="120" w:after="120" w:line="288" w:lineRule="auto"/>
        <w:ind w:left="0"/>
        <w:jc w:val="left"/>
      </w:pPr>
      <w:r>
        <w:rPr>
          <w:rFonts w:eastAsia="等线" w:ascii="Arial" w:cs="Arial" w:hAnsi="Arial"/>
          <w:sz w:val="22"/>
        </w:rPr>
        <w:t>名称描述</w:t>
      </w:r>
    </w:p>
    <w:p>
      <w:pPr>
        <w:spacing w:before="120" w:after="120" w:line="288" w:lineRule="auto"/>
        <w:ind w:left="0"/>
        <w:jc w:val="left"/>
      </w:pPr>
      <w:r>
        <w:rPr>
          <w:rFonts w:eastAsia="等线" w:ascii="Arial" w:cs="Arial" w:hAnsi="Arial"/>
          <w:sz w:val="22"/>
        </w:rPr>
        <w:t>neutralize中性化</w:t>
      </w:r>
    </w:p>
    <w:p>
      <w:pPr>
        <w:spacing w:before="120" w:after="120" w:line="288" w:lineRule="auto"/>
        <w:ind w:left="0"/>
        <w:jc w:val="left"/>
      </w:pPr>
      <w:r>
        <w:rPr>
          <w:rFonts w:eastAsia="等线" w:ascii="Arial" w:cs="Arial" w:hAnsi="Arial"/>
          <w:sz w:val="22"/>
        </w:rPr>
        <w:t>winsorize去极值</w:t>
      </w:r>
    </w:p>
    <w:p>
      <w:pPr>
        <w:spacing w:before="120" w:after="120" w:line="288" w:lineRule="auto"/>
        <w:ind w:left="0"/>
        <w:jc w:val="left"/>
      </w:pPr>
      <w:r>
        <w:rPr>
          <w:rFonts w:eastAsia="等线" w:ascii="Arial" w:cs="Arial" w:hAnsi="Arial"/>
          <w:sz w:val="22"/>
        </w:rPr>
        <w:t>winsorize_med中位数去极值</w:t>
      </w:r>
    </w:p>
    <w:p>
      <w:pPr>
        <w:spacing w:before="120" w:after="120" w:line="288" w:lineRule="auto"/>
        <w:ind w:left="0"/>
        <w:jc w:val="left"/>
      </w:pPr>
      <w:r>
        <w:rPr>
          <w:rFonts w:eastAsia="等线" w:ascii="Arial" w:cs="Arial" w:hAnsi="Arial"/>
          <w:sz w:val="22"/>
        </w:rPr>
        <w:t>standardlize标准化(z-score)</w:t>
      </w:r>
    </w:p>
    <w:p>
      <w:pPr>
        <w:pStyle w:val="3"/>
        <w:spacing w:before="300" w:after="120" w:line="288" w:lineRule="auto"/>
        <w:ind w:left="0"/>
        <w:jc w:val="left"/>
        <w:outlineLvl w:val="2"/>
      </w:pPr>
      <w:bookmarkStart w:name="heading_41" w:id="41"/>
      <w:r>
        <w:rPr>
          <w:rFonts w:eastAsia="等线" w:ascii="Arial" w:cs="Arial" w:hAnsi="Arial"/>
          <w:b w:val="true"/>
          <w:sz w:val="30"/>
        </w:rPr>
        <w:t>组合优化函数</w:t>
      </w:r>
      <w:bookmarkEnd w:id="41"/>
    </w:p>
    <w:p>
      <w:pPr>
        <w:pStyle w:val="5"/>
        <w:spacing w:before="240" w:after="120" w:line="288" w:lineRule="auto"/>
        <w:ind w:left="0"/>
        <w:jc w:val="left"/>
        <w:outlineLvl w:val="4"/>
      </w:pPr>
      <w:bookmarkStart w:name="heading_42" w:id="42"/>
      <w:r>
        <w:rPr>
          <w:rFonts w:eastAsia="等线" w:ascii="Arial" w:cs="Arial" w:hAnsi="Arial"/>
          <w:b w:val="true"/>
          <w:sz w:val="24"/>
        </w:rPr>
        <w:t xml:space="preserve">portfolio_optimizer - 投资组合优化 </w:t>
      </w:r>
      <w:bookmarkEnd w:id="4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portfolio_optimizer(date, securities, target, constraints, bounds=[Bound(0.0, 1.0)], default_port_weight_range=[0.0, 1.0], ftol=1e-9, return_none_if_fail=True)</w:t>
            </w:r>
          </w:p>
        </w:tc>
      </w:tr>
    </w:tbl>
    <w:p>
      <w:pPr>
        <w:spacing w:before="120" w:after="120" w:line="288" w:lineRule="auto"/>
        <w:ind w:left="0"/>
        <w:jc w:val="left"/>
      </w:pPr>
      <w:r>
        <w:rPr>
          <w:rFonts w:eastAsia="等线" w:ascii="Arial" w:cs="Arial" w:hAnsi="Arial"/>
          <w:sz w:val="22"/>
        </w:rPr>
        <w:t>优化函数, 用于计算在某些约束条件下的最优组合权重</w:t>
      </w:r>
    </w:p>
    <w:p>
      <w:pPr>
        <w:numPr>
          <w:numId w:val="189"/>
        </w:numPr>
        <w:spacing w:before="120" w:after="120" w:line="288" w:lineRule="auto"/>
        <w:ind w:left="0"/>
        <w:jc w:val="left"/>
      </w:pPr>
      <w:r>
        <w:rPr>
          <w:rFonts w:eastAsia="等线" w:ascii="Arial" w:cs="Arial" w:hAnsi="Arial"/>
          <w:sz w:val="22"/>
        </w:rPr>
        <w:t>参数</w:t>
      </w:r>
    </w:p>
    <w:p>
      <w:pPr>
        <w:numPr>
          <w:numId w:val="190"/>
        </w:numPr>
        <w:spacing w:before="120" w:after="120" w:line="288" w:lineRule="auto"/>
        <w:ind w:left="453"/>
        <w:jc w:val="left"/>
      </w:pPr>
      <w:r>
        <w:rPr>
          <w:rFonts w:eastAsia="等线" w:ascii="Arial" w:cs="Arial" w:hAnsi="Arial"/>
          <w:sz w:val="22"/>
        </w:rPr>
        <w:t>date: 优化发生的日期，请注意未来函数</w:t>
      </w:r>
    </w:p>
    <w:p>
      <w:pPr>
        <w:numPr>
          <w:numId w:val="191"/>
        </w:numPr>
        <w:spacing w:before="120" w:after="120" w:line="288" w:lineRule="auto"/>
        <w:ind w:left="453"/>
        <w:jc w:val="left"/>
      </w:pPr>
      <w:r>
        <w:rPr>
          <w:rFonts w:eastAsia="等线" w:ascii="Arial" w:cs="Arial" w:hAnsi="Arial"/>
          <w:sz w:val="22"/>
        </w:rPr>
        <w:t>securities: 股票代码列表</w:t>
      </w:r>
    </w:p>
    <w:p>
      <w:pPr>
        <w:numPr>
          <w:numId w:val="192"/>
        </w:numPr>
        <w:spacing w:before="120" w:after="120" w:line="288" w:lineRule="auto"/>
        <w:ind w:left="453"/>
        <w:jc w:val="left"/>
      </w:pPr>
      <w:r>
        <w:rPr>
          <w:rFonts w:eastAsia="等线" w:ascii="Arial" w:cs="Arial" w:hAnsi="Arial"/>
          <w:sz w:val="22"/>
        </w:rPr>
        <w:t>target: 优化目标函数，只能选择一个，目标函数详见下方</w:t>
      </w:r>
    </w:p>
    <w:p>
      <w:pPr>
        <w:numPr>
          <w:numId w:val="193"/>
        </w:numPr>
        <w:spacing w:before="120" w:after="120" w:line="288" w:lineRule="auto"/>
        <w:ind w:left="453"/>
        <w:jc w:val="left"/>
      </w:pPr>
      <w:r>
        <w:rPr>
          <w:rFonts w:eastAsia="等线" w:ascii="Arial" w:cs="Arial" w:hAnsi="Arial"/>
          <w:sz w:val="22"/>
        </w:rPr>
        <w:t>constraints: 限制函数，用以对组合总权重进行限制，可设置一个或多个相同/不同类别的函数，限制函数详见下方</w:t>
      </w:r>
    </w:p>
    <w:p>
      <w:pPr>
        <w:numPr>
          <w:numId w:val="194"/>
        </w:numPr>
        <w:spacing w:before="120" w:after="120" w:line="288" w:lineRule="auto"/>
        <w:ind w:left="453"/>
        <w:jc w:val="left"/>
      </w:pPr>
      <w:r>
        <w:rPr>
          <w:rFonts w:eastAsia="等线" w:ascii="Arial" w:cs="Arial" w:hAnsi="Arial"/>
          <w:sz w:val="22"/>
        </w:rPr>
        <w:t>bounds: 边界函数，用以对组合中单标的权重进行限制，可设置一个或多个相同/不同类别的函数，边界函数详见下方。如果不填，默认为  Bound(0., 1.)；如果有多个 bound，则一只股票的权重下限取所有 Bound 的最大值，上限取所有 Bound 的最小值</w:t>
      </w:r>
    </w:p>
    <w:p>
      <w:pPr>
        <w:numPr>
          <w:numId w:val="195"/>
        </w:numPr>
        <w:spacing w:before="120" w:after="120" w:line="288" w:lineRule="auto"/>
        <w:ind w:left="453"/>
        <w:jc w:val="left"/>
      </w:pPr>
      <w:r>
        <w:rPr>
          <w:rFonts w:eastAsia="等线" w:ascii="Arial" w:cs="Arial" w:hAnsi="Arial"/>
          <w:sz w:val="22"/>
        </w:rPr>
        <w:t>default_port_weight_range: 长度为2的列表，默认的组合权重之和的范围，默认值为 [0.0,  1.0]。如果限制函数(constraints) 中没有 WeightConstraint 或 WeightEqualConstraint  限制，则会添加 WeightConstraint(low=default_port_weight_range[0],  high=default_port_weight_range[1]) 到 constraints列表中。</w:t>
      </w:r>
    </w:p>
    <w:p>
      <w:pPr>
        <w:numPr>
          <w:numId w:val="196"/>
        </w:numPr>
        <w:spacing w:before="120" w:after="120" w:line="288" w:lineRule="auto"/>
        <w:ind w:left="453"/>
        <w:jc w:val="left"/>
      </w:pPr>
      <w:r>
        <w:rPr>
          <w:rFonts w:eastAsia="等线" w:ascii="Arial" w:cs="Arial" w:hAnsi="Arial"/>
          <w:sz w:val="22"/>
        </w:rPr>
        <w:t>ftol: 默认为 1e-9，优化函数触发结束的函数值。当求解结果精度不够时可以适当降低 ftol 的值，当求解时间过长时可以适当提高 ftol 值</w:t>
      </w:r>
    </w:p>
    <w:p>
      <w:pPr>
        <w:numPr>
          <w:numId w:val="197"/>
        </w:numPr>
        <w:spacing w:before="120" w:after="120" w:line="288" w:lineRule="auto"/>
        <w:ind w:left="453"/>
        <w:jc w:val="left"/>
      </w:pPr>
      <w:r>
        <w:rPr>
          <w:rFonts w:eastAsia="等线" w:ascii="Arial" w:cs="Arial" w:hAnsi="Arial"/>
          <w:sz w:val="22"/>
        </w:rPr>
        <w:t>return_none_if_fail: 默认为 True，如果优化失败，当 return_none_if_fail 为 True 时返回 None，为 False 时返回全为 0 的组合权重</w:t>
      </w:r>
    </w:p>
    <w:p>
      <w:pPr>
        <w:pStyle w:val="4"/>
        <w:spacing w:before="260" w:after="120" w:line="288" w:lineRule="auto"/>
        <w:ind w:left="0"/>
        <w:jc w:val="left"/>
        <w:outlineLvl w:val="3"/>
      </w:pPr>
      <w:bookmarkStart w:name="heading_43" w:id="43"/>
      <w:r>
        <w:rPr>
          <w:rFonts w:eastAsia="等线" w:ascii="Arial" w:cs="Arial" w:hAnsi="Arial"/>
          <w:b w:val="true"/>
          <w:sz w:val="28"/>
        </w:rPr>
        <w:t>相关参数</w:t>
      </w:r>
      <w:bookmarkEnd w:id="43"/>
    </w:p>
    <w:p>
      <w:pPr>
        <w:spacing w:before="120" w:after="120" w:line="288" w:lineRule="auto"/>
        <w:ind w:left="0"/>
        <w:jc w:val="left"/>
      </w:pPr>
      <w:r>
        <w:rPr>
          <w:rFonts w:eastAsia="等线" w:ascii="Arial" w:cs="Arial" w:hAnsi="Arial"/>
          <w:sz w:val="22"/>
        </w:rPr>
        <w:t>参数名称描述</w:t>
      </w:r>
    </w:p>
    <w:p>
      <w:pPr>
        <w:spacing w:before="120" w:after="120" w:line="288" w:lineRule="auto"/>
        <w:ind w:left="0"/>
        <w:jc w:val="left"/>
      </w:pPr>
      <w:r>
        <w:rPr>
          <w:rFonts w:eastAsia="等线" w:ascii="Arial" w:cs="Arial" w:hAnsi="Arial"/>
          <w:sz w:val="22"/>
        </w:rPr>
        <w:t>目标函数(target)优化目标函数，只能选择一个</w:t>
      </w:r>
    </w:p>
    <w:p>
      <w:pPr>
        <w:spacing w:before="120" w:after="120" w:line="288" w:lineRule="auto"/>
        <w:ind w:left="0"/>
        <w:jc w:val="left"/>
      </w:pPr>
      <w:r>
        <w:rPr>
          <w:rFonts w:eastAsia="等线" w:ascii="Arial" w:cs="Arial" w:hAnsi="Arial"/>
          <w:sz w:val="22"/>
        </w:rPr>
        <w:t>限制函数(constraints)用以对组合总权重进行限制，可设置一个或多个相同/不同类别的函数</w:t>
      </w:r>
    </w:p>
    <w:p>
      <w:pPr>
        <w:spacing w:before="120" w:after="120" w:line="288" w:lineRule="auto"/>
        <w:ind w:left="0"/>
        <w:jc w:val="left"/>
      </w:pPr>
      <w:r>
        <w:rPr>
          <w:rFonts w:eastAsia="等线" w:ascii="Arial" w:cs="Arial" w:hAnsi="Arial"/>
          <w:sz w:val="22"/>
        </w:rPr>
        <w:t>边界函数(bounds)用以对组合中单标的权重进行限制，可设置一个或多个相同/不同类别的函数</w:t>
      </w:r>
    </w:p>
    <w:p>
      <w:pPr>
        <w:spacing w:before="120" w:after="120" w:line="288" w:lineRule="auto"/>
        <w:ind w:left="0"/>
        <w:jc w:val="left"/>
      </w:pPr>
      <w:r>
        <w:rPr>
          <w:rFonts w:eastAsia="等线" w:ascii="Arial" w:cs="Arial" w:hAnsi="Arial"/>
          <w:sz w:val="22"/>
        </w:rPr>
        <w:t>示例代码给了五个应用示例，修改参数即可生效</w:t>
      </w:r>
    </w:p>
    <w:p>
      <w:pPr>
        <w:pStyle w:val="3"/>
        <w:spacing w:before="300" w:after="120" w:line="288" w:lineRule="auto"/>
        <w:ind w:left="0"/>
        <w:jc w:val="left"/>
        <w:outlineLvl w:val="2"/>
      </w:pPr>
      <w:bookmarkStart w:name="heading_44" w:id="44"/>
      <w:r>
        <w:rPr>
          <w:rFonts w:eastAsia="等线" w:ascii="Arial" w:cs="Arial" w:hAnsi="Arial"/>
          <w:b w:val="true"/>
          <w:sz w:val="30"/>
        </w:rPr>
        <w:t>交易函数</w:t>
      </w:r>
      <w:bookmarkEnd w:id="44"/>
    </w:p>
    <w:p>
      <w:pPr>
        <w:spacing w:before="120" w:after="120" w:line="288" w:lineRule="auto"/>
        <w:ind w:left="0"/>
        <w:jc w:val="left"/>
      </w:pPr>
      <w:r>
        <w:rPr>
          <w:rFonts w:eastAsia="等线" w:ascii="Arial" w:cs="Arial" w:hAnsi="Arial"/>
          <w:b w:val="true"/>
          <w:sz w:val="22"/>
        </w:rPr>
        <w:t>提示</w:t>
      </w:r>
    </w:p>
    <w:p>
      <w:pPr>
        <w:numPr>
          <w:numId w:val="198"/>
        </w:numPr>
        <w:spacing w:before="120" w:after="120" w:line="288" w:lineRule="auto"/>
        <w:ind w:left="0"/>
        <w:jc w:val="left"/>
      </w:pPr>
      <w:r>
        <w:rPr>
          <w:rFonts w:eastAsia="等线" w:ascii="Arial" w:cs="Arial" w:hAnsi="Arial"/>
          <w:sz w:val="22"/>
        </w:rPr>
        <w:t xml:space="preserve">所有下单函数可以在 handle_data中 与 </w:t>
      </w:r>
      <w:hyperlink r:id="rId98">
        <w:r>
          <w:rPr>
            <w:rFonts w:eastAsia="等线" w:ascii="Arial" w:cs="Arial" w:hAnsi="Arial"/>
            <w:color w:val="3370ff"/>
            <w:sz w:val="22"/>
          </w:rPr>
          <w:t>定时运行函数</w:t>
        </w:r>
      </w:hyperlink>
      <w:r>
        <w:rPr>
          <w:rFonts w:eastAsia="等线" w:ascii="Arial" w:cs="Arial" w:hAnsi="Arial"/>
          <w:sz w:val="22"/>
        </w:rPr>
        <w:t xml:space="preserve"> 的 time 参数为 "every_bar"或具体的时间点（例如:time='10:00'）时使用</w:t>
      </w:r>
    </w:p>
    <w:p>
      <w:pPr>
        <w:numPr>
          <w:numId w:val="199"/>
        </w:numPr>
        <w:spacing w:before="120" w:after="120" w:line="288" w:lineRule="auto"/>
        <w:ind w:left="0"/>
        <w:jc w:val="left"/>
      </w:pPr>
      <w:r>
        <w:rPr>
          <w:rFonts w:eastAsia="等线" w:ascii="Arial" w:cs="Arial" w:hAnsi="Arial"/>
          <w:sz w:val="22"/>
        </w:rPr>
        <w:t>创建订单失败（返回None）的可能原因： 股票停牌；标的代码错误、已退市、未上市；账户错误(如给股票下单,指定pindex为期货账户)；调整下单手数为0；股票下空单等</w:t>
      </w:r>
    </w:p>
    <w:p>
      <w:pPr>
        <w:numPr>
          <w:numId w:val="200"/>
        </w:numPr>
        <w:spacing w:before="120" w:after="120" w:line="288" w:lineRule="auto"/>
        <w:ind w:left="0"/>
        <w:jc w:val="left"/>
      </w:pPr>
      <w:r>
        <w:rPr>
          <w:rFonts w:eastAsia="等线" w:ascii="Arial" w:cs="Arial" w:hAnsi="Arial"/>
          <w:sz w:val="22"/>
        </w:rPr>
        <w:t>了解更多:</w:t>
      </w:r>
      <w:hyperlink r:id="rId99">
        <w:r>
          <w:rPr>
            <w:rFonts w:eastAsia="等线" w:ascii="Arial" w:cs="Arial" w:hAnsi="Arial"/>
            <w:color w:val="3370ff"/>
            <w:sz w:val="22"/>
          </w:rPr>
          <w:t>关于下单函数的说明</w:t>
        </w:r>
      </w:hyperlink>
    </w:p>
    <w:p>
      <w:pPr>
        <w:spacing w:before="120" w:after="120" w:line="288" w:lineRule="auto"/>
        <w:ind w:left="0"/>
        <w:jc w:val="left"/>
      </w:pPr>
      <w:r>
        <w:rPr>
          <w:rFonts w:eastAsia="等线" w:ascii="Arial" w:cs="Arial" w:hAnsi="Arial"/>
          <w:sz w:val="22"/>
        </w:rPr>
        <w:t>名称描述</w:t>
      </w:r>
    </w:p>
    <w:p>
      <w:pPr>
        <w:spacing w:before="120" w:after="120" w:line="288" w:lineRule="auto"/>
        <w:ind w:left="0"/>
        <w:jc w:val="left"/>
      </w:pPr>
      <w:r>
        <w:rPr>
          <w:rFonts w:eastAsia="等线" w:ascii="Arial" w:cs="Arial" w:hAnsi="Arial"/>
          <w:sz w:val="22"/>
        </w:rPr>
        <w:t>order  按股数下单</w:t>
      </w:r>
    </w:p>
    <w:p>
      <w:pPr>
        <w:spacing w:before="120" w:after="120" w:line="288" w:lineRule="auto"/>
        <w:ind w:left="0"/>
        <w:jc w:val="left"/>
      </w:pPr>
      <w:r>
        <w:rPr>
          <w:rFonts w:eastAsia="等线" w:ascii="Arial" w:cs="Arial" w:hAnsi="Arial"/>
          <w:sz w:val="22"/>
        </w:rPr>
        <w:t>order_target  目标股数下单</w:t>
      </w:r>
    </w:p>
    <w:p>
      <w:pPr>
        <w:spacing w:before="120" w:after="120" w:line="288" w:lineRule="auto"/>
        <w:ind w:left="0"/>
        <w:jc w:val="left"/>
      </w:pPr>
      <w:r>
        <w:rPr>
          <w:rFonts w:eastAsia="等线" w:ascii="Arial" w:cs="Arial" w:hAnsi="Arial"/>
          <w:sz w:val="22"/>
        </w:rPr>
        <w:t>order_value  按价值下单</w:t>
      </w:r>
    </w:p>
    <w:p>
      <w:pPr>
        <w:spacing w:before="120" w:after="120" w:line="288" w:lineRule="auto"/>
        <w:ind w:left="0"/>
        <w:jc w:val="left"/>
      </w:pPr>
      <w:r>
        <w:rPr>
          <w:rFonts w:eastAsia="等线" w:ascii="Arial" w:cs="Arial" w:hAnsi="Arial"/>
          <w:sz w:val="22"/>
        </w:rPr>
        <w:t>order_target_value  目标价值下单</w:t>
      </w:r>
    </w:p>
    <w:p>
      <w:pPr>
        <w:spacing w:before="120" w:after="120" w:line="288" w:lineRule="auto"/>
        <w:ind w:left="0"/>
        <w:jc w:val="left"/>
      </w:pPr>
      <w:r>
        <w:rPr>
          <w:rFonts w:eastAsia="等线" w:ascii="Arial" w:cs="Arial" w:hAnsi="Arial"/>
          <w:sz w:val="22"/>
        </w:rPr>
        <w:t>cancel_order  撤单</w:t>
      </w:r>
    </w:p>
    <w:p>
      <w:pPr>
        <w:spacing w:before="120" w:after="120" w:line="288" w:lineRule="auto"/>
        <w:ind w:left="0"/>
        <w:jc w:val="left"/>
      </w:pPr>
      <w:r>
        <w:rPr>
          <w:rFonts w:eastAsia="等线" w:ascii="Arial" w:cs="Arial" w:hAnsi="Arial"/>
          <w:sz w:val="22"/>
        </w:rPr>
        <w:t>get_open_orders  获取未完成订单</w:t>
      </w:r>
    </w:p>
    <w:p>
      <w:pPr>
        <w:spacing w:before="120" w:after="120" w:line="288" w:lineRule="auto"/>
        <w:ind w:left="0"/>
        <w:jc w:val="left"/>
      </w:pPr>
      <w:r>
        <w:rPr>
          <w:rFonts w:eastAsia="等线" w:ascii="Arial" w:cs="Arial" w:hAnsi="Arial"/>
          <w:sz w:val="22"/>
        </w:rPr>
        <w:t>get_orders  获取订单信息</w:t>
      </w:r>
    </w:p>
    <w:p>
      <w:pPr>
        <w:spacing w:before="120" w:after="120" w:line="288" w:lineRule="auto"/>
        <w:ind w:left="0"/>
        <w:jc w:val="left"/>
      </w:pPr>
      <w:r>
        <w:rPr>
          <w:rFonts w:eastAsia="等线" w:ascii="Arial" w:cs="Arial" w:hAnsi="Arial"/>
          <w:sz w:val="22"/>
        </w:rPr>
        <w:t>get_trades  获取成交信息</w:t>
      </w:r>
    </w:p>
    <w:p>
      <w:pPr>
        <w:spacing w:before="120" w:after="120" w:line="288" w:lineRule="auto"/>
        <w:ind w:left="0"/>
        <w:jc w:val="left"/>
      </w:pPr>
      <w:r>
        <w:rPr>
          <w:rFonts w:eastAsia="等线" w:ascii="Arial" w:cs="Arial" w:hAnsi="Arial"/>
          <w:sz w:val="22"/>
        </w:rPr>
        <w:t>inout_cash账户出入金</w:t>
      </w:r>
    </w:p>
    <w:p>
      <w:pPr>
        <w:spacing w:before="120" w:after="120" w:line="288" w:lineRule="auto"/>
        <w:ind w:left="0"/>
        <w:jc w:val="left"/>
      </w:pPr>
      <w:r>
        <w:rPr>
          <w:rFonts w:eastAsia="等线" w:ascii="Arial" w:cs="Arial" w:hAnsi="Arial"/>
          <w:sz w:val="22"/>
        </w:rPr>
        <w:t>batch_submit_orders篮子下单</w:t>
      </w:r>
    </w:p>
    <w:p>
      <w:pPr>
        <w:spacing w:before="120" w:after="120" w:line="288" w:lineRule="auto"/>
        <w:ind w:left="0"/>
        <w:jc w:val="left"/>
      </w:pPr>
      <w:r>
        <w:rPr>
          <w:rFonts w:eastAsia="等线" w:ascii="Arial" w:cs="Arial" w:hAnsi="Arial"/>
          <w:sz w:val="22"/>
        </w:rPr>
        <w:t>batch_cancel_orders篮子撤单</w:t>
      </w:r>
    </w:p>
    <w:p>
      <w:pPr>
        <w:pStyle w:val="3"/>
        <w:spacing w:before="300" w:after="120" w:line="288" w:lineRule="auto"/>
        <w:ind w:left="0"/>
        <w:jc w:val="left"/>
        <w:outlineLvl w:val="2"/>
      </w:pPr>
      <w:bookmarkStart w:name="heading_45" w:id="45"/>
      <w:r>
        <w:rPr>
          <w:rFonts w:eastAsia="等线" w:ascii="Arial" w:cs="Arial" w:hAnsi="Arial"/>
          <w:b w:val="true"/>
          <w:sz w:val="30"/>
        </w:rPr>
        <w:t>对象♠</w:t>
      </w:r>
      <w:bookmarkEnd w:id="45"/>
    </w:p>
    <w:p>
      <w:pPr>
        <w:spacing w:before="120" w:after="120" w:line="288" w:lineRule="auto"/>
        <w:ind w:left="0"/>
        <w:jc w:val="left"/>
      </w:pPr>
      <w:r>
        <w:rPr>
          <w:rFonts w:eastAsia="等线" w:ascii="Arial" w:cs="Arial" w:hAnsi="Arial"/>
          <w:sz w:val="22"/>
        </w:rPr>
        <w:t>名称描述</w:t>
      </w:r>
    </w:p>
    <w:p>
      <w:pPr>
        <w:spacing w:before="120" w:after="120" w:line="288" w:lineRule="auto"/>
        <w:ind w:left="0"/>
        <w:jc w:val="left"/>
      </w:pPr>
      <w:r>
        <w:rPr>
          <w:rFonts w:eastAsia="等线" w:ascii="Arial" w:cs="Arial" w:hAnsi="Arial"/>
          <w:sz w:val="22"/>
        </w:rPr>
        <w:t xml:space="preserve"> g全局变量对象</w:t>
      </w:r>
    </w:p>
    <w:p>
      <w:pPr>
        <w:spacing w:before="120" w:after="120" w:line="288" w:lineRule="auto"/>
        <w:ind w:left="0"/>
        <w:jc w:val="left"/>
      </w:pPr>
      <w:r>
        <w:rPr>
          <w:rFonts w:eastAsia="等线" w:ascii="Arial" w:cs="Arial" w:hAnsi="Arial"/>
          <w:sz w:val="22"/>
        </w:rPr>
        <w:t>Context策略信息总览，包含账户、时间等信息</w:t>
      </w:r>
    </w:p>
    <w:p>
      <w:pPr>
        <w:spacing w:before="120" w:after="120" w:line="288" w:lineRule="auto"/>
        <w:ind w:left="0"/>
        <w:jc w:val="left"/>
      </w:pPr>
      <w:r>
        <w:rPr>
          <w:rFonts w:eastAsia="等线" w:ascii="Arial" w:cs="Arial" w:hAnsi="Arial"/>
          <w:sz w:val="22"/>
        </w:rPr>
        <w:t>SubPortfolio子账户信息</w:t>
      </w:r>
    </w:p>
    <w:p>
      <w:pPr>
        <w:spacing w:before="120" w:after="120" w:line="288" w:lineRule="auto"/>
        <w:ind w:left="0"/>
        <w:jc w:val="left"/>
      </w:pPr>
      <w:r>
        <w:rPr>
          <w:rFonts w:eastAsia="等线" w:ascii="Arial" w:cs="Arial" w:hAnsi="Arial"/>
          <w:sz w:val="22"/>
        </w:rPr>
        <w:t>Portfolio总账户信息</w:t>
      </w:r>
    </w:p>
    <w:p>
      <w:pPr>
        <w:spacing w:before="120" w:after="120" w:line="288" w:lineRule="auto"/>
        <w:ind w:left="0"/>
        <w:jc w:val="left"/>
      </w:pPr>
      <w:r>
        <w:rPr>
          <w:rFonts w:eastAsia="等线" w:ascii="Arial" w:cs="Arial" w:hAnsi="Arial"/>
          <w:sz w:val="22"/>
        </w:rPr>
        <w:t>Position持仓标的信息</w:t>
      </w:r>
    </w:p>
    <w:p>
      <w:pPr>
        <w:spacing w:before="120" w:after="120" w:line="288" w:lineRule="auto"/>
        <w:ind w:left="0"/>
        <w:jc w:val="left"/>
      </w:pPr>
      <w:r>
        <w:rPr>
          <w:rFonts w:eastAsia="等线" w:ascii="Arial" w:cs="Arial" w:hAnsi="Arial"/>
          <w:sz w:val="22"/>
        </w:rPr>
        <w:t>SecurityUnitDatadata对象</w:t>
      </w:r>
    </w:p>
    <w:p>
      <w:pPr>
        <w:spacing w:before="120" w:after="120" w:line="288" w:lineRule="auto"/>
        <w:ind w:left="0"/>
        <w:jc w:val="left"/>
      </w:pPr>
      <w:r>
        <w:rPr>
          <w:rFonts w:eastAsia="等线" w:ascii="Arial" w:cs="Arial" w:hAnsi="Arial"/>
          <w:sz w:val="22"/>
        </w:rPr>
        <w:t>tick 对象tick 对象</w:t>
      </w:r>
    </w:p>
    <w:p>
      <w:pPr>
        <w:spacing w:before="120" w:after="120" w:line="288" w:lineRule="auto"/>
        <w:ind w:left="0"/>
        <w:jc w:val="left"/>
      </w:pPr>
      <w:r>
        <w:rPr>
          <w:rFonts w:eastAsia="等线" w:ascii="Arial" w:cs="Arial" w:hAnsi="Arial"/>
          <w:sz w:val="22"/>
        </w:rPr>
        <w:t>Trade对象订单的一次交易记录,一个订单可能分多次交易.</w:t>
      </w:r>
    </w:p>
    <w:p>
      <w:pPr>
        <w:spacing w:before="120" w:after="120" w:line="288" w:lineRule="auto"/>
        <w:ind w:left="0"/>
        <w:jc w:val="left"/>
      </w:pPr>
      <w:r>
        <w:rPr>
          <w:rFonts w:eastAsia="等线" w:ascii="Arial" w:cs="Arial" w:hAnsi="Arial"/>
          <w:sz w:val="22"/>
        </w:rPr>
        <w:t>Order对象买卖订单信息</w:t>
      </w:r>
    </w:p>
    <w:p>
      <w:pPr>
        <w:spacing w:before="120" w:after="120" w:line="288" w:lineRule="auto"/>
        <w:ind w:left="0"/>
        <w:jc w:val="left"/>
      </w:pPr>
      <w:r>
        <w:rPr>
          <w:rFonts w:eastAsia="等线" w:ascii="Arial" w:cs="Arial" w:hAnsi="Arial"/>
          <w:sz w:val="22"/>
        </w:rPr>
        <w:t>OrderStatus订单状态</w:t>
      </w:r>
    </w:p>
    <w:p>
      <w:pPr>
        <w:spacing w:before="120" w:after="120" w:line="288" w:lineRule="auto"/>
        <w:ind w:left="0"/>
        <w:jc w:val="left"/>
      </w:pPr>
      <w:r>
        <w:rPr>
          <w:rFonts w:eastAsia="等线" w:ascii="Arial" w:cs="Arial" w:hAnsi="Arial"/>
          <w:sz w:val="22"/>
        </w:rPr>
        <w:t>OrderStyle下单方式</w:t>
      </w:r>
    </w:p>
    <w:p>
      <w:pPr>
        <w:spacing w:before="120" w:after="120" w:line="288" w:lineRule="auto"/>
        <w:ind w:left="0"/>
        <w:jc w:val="left"/>
      </w:pPr>
      <w:r>
        <w:rPr>
          <w:rFonts w:eastAsia="等线" w:ascii="Arial" w:cs="Arial" w:hAnsi="Arial"/>
          <w:sz w:val="22"/>
        </w:rPr>
        <w:t>Event事件对象</w:t>
      </w:r>
    </w:p>
    <w:p>
      <w:pPr>
        <w:pStyle w:val="3"/>
        <w:spacing w:before="300" w:after="120" w:line="288" w:lineRule="auto"/>
        <w:ind w:left="0"/>
        <w:jc w:val="left"/>
        <w:outlineLvl w:val="2"/>
      </w:pPr>
      <w:bookmarkStart w:name="heading_46" w:id="46"/>
      <w:r>
        <w:rPr>
          <w:rFonts w:eastAsia="等线" w:ascii="Arial" w:cs="Arial" w:hAnsi="Arial"/>
          <w:b w:val="true"/>
          <w:sz w:val="30"/>
        </w:rPr>
        <w:t>其他函数</w:t>
      </w:r>
      <w:bookmarkEnd w:id="46"/>
    </w:p>
    <w:p>
      <w:pPr>
        <w:spacing w:before="120" w:after="120" w:line="288" w:lineRule="auto"/>
        <w:ind w:left="0"/>
        <w:jc w:val="left"/>
      </w:pPr>
      <w:r>
        <w:rPr>
          <w:rFonts w:eastAsia="等线" w:ascii="Arial" w:cs="Arial" w:hAnsi="Arial"/>
          <w:sz w:val="22"/>
        </w:rPr>
        <w:t>名称描述</w:t>
      </w:r>
    </w:p>
    <w:p>
      <w:pPr>
        <w:spacing w:before="120" w:after="120" w:line="288" w:lineRule="auto"/>
        <w:ind w:left="0"/>
        <w:jc w:val="left"/>
      </w:pPr>
      <w:r>
        <w:rPr>
          <w:rFonts w:eastAsia="等线" w:ascii="Arial" w:cs="Arial" w:hAnsi="Arial"/>
          <w:sz w:val="22"/>
        </w:rPr>
        <w:t>record ♠画图函数</w:t>
      </w:r>
    </w:p>
    <w:p>
      <w:pPr>
        <w:spacing w:before="120" w:after="120" w:line="288" w:lineRule="auto"/>
        <w:ind w:left="0"/>
        <w:jc w:val="left"/>
      </w:pPr>
      <w:r>
        <w:rPr>
          <w:rFonts w:eastAsia="等线" w:ascii="Arial" w:cs="Arial" w:hAnsi="Arial"/>
          <w:sz w:val="22"/>
        </w:rPr>
        <w:t>send_message ♠发送自定义消息</w:t>
      </w:r>
    </w:p>
    <w:p>
      <w:pPr>
        <w:spacing w:before="120" w:after="120" w:line="288" w:lineRule="auto"/>
        <w:ind w:left="0"/>
        <w:jc w:val="left"/>
      </w:pPr>
      <w:r>
        <w:rPr>
          <w:rFonts w:eastAsia="等线" w:ascii="Arial" w:cs="Arial" w:hAnsi="Arial"/>
          <w:sz w:val="22"/>
        </w:rPr>
        <w:t xml:space="preserve"> log 日志log信息</w:t>
      </w:r>
    </w:p>
    <w:p>
      <w:pPr>
        <w:spacing w:before="120" w:after="120" w:line="288" w:lineRule="auto"/>
        <w:ind w:left="0"/>
        <w:jc w:val="left"/>
      </w:pPr>
      <w:r>
        <w:rPr>
          <w:rFonts w:eastAsia="等线" w:ascii="Arial" w:cs="Arial" w:hAnsi="Arial"/>
          <w:sz w:val="22"/>
        </w:rPr>
        <w:t>write_file将回测或模拟交易数据写入到投资研究文件中</w:t>
      </w:r>
    </w:p>
    <w:p>
      <w:pPr>
        <w:spacing w:before="120" w:after="120" w:line="288" w:lineRule="auto"/>
        <w:ind w:left="0"/>
        <w:jc w:val="left"/>
      </w:pPr>
      <w:r>
        <w:rPr>
          <w:rFonts w:eastAsia="等线" w:ascii="Arial" w:cs="Arial" w:hAnsi="Arial"/>
          <w:sz w:val="22"/>
        </w:rPr>
        <w:t>read_file在回测或者模拟交易中读取您研究中文件</w:t>
      </w:r>
    </w:p>
    <w:p>
      <w:pPr>
        <w:spacing w:before="120" w:after="120" w:line="288" w:lineRule="auto"/>
        <w:ind w:left="0"/>
        <w:jc w:val="left"/>
      </w:pPr>
      <w:r>
        <w:rPr>
          <w:rFonts w:eastAsia="等线" w:ascii="Arial" w:cs="Arial" w:hAnsi="Arial"/>
          <w:sz w:val="22"/>
        </w:rPr>
        <w:t>自定义python库自定义私人的Python库文件</w:t>
      </w:r>
    </w:p>
    <w:p>
      <w:pPr>
        <w:spacing w:before="120" w:after="120" w:line="288" w:lineRule="auto"/>
        <w:ind w:left="0"/>
        <w:jc w:val="left"/>
      </w:pPr>
      <w:r>
        <w:rPr>
          <w:rFonts w:eastAsia="等线" w:ascii="Arial" w:cs="Arial" w:hAnsi="Arial"/>
          <w:sz w:val="22"/>
        </w:rPr>
        <w:t>create_backtest通过一个策略ID从研究中创建回测</w:t>
      </w:r>
    </w:p>
    <w:p>
      <w:pPr>
        <w:spacing w:before="120" w:after="120" w:line="288" w:lineRule="auto"/>
        <w:ind w:left="0"/>
        <w:jc w:val="left"/>
      </w:pPr>
      <w:r>
        <w:rPr>
          <w:rFonts w:eastAsia="等线" w:ascii="Arial" w:cs="Arial" w:hAnsi="Arial"/>
          <w:sz w:val="22"/>
        </w:rPr>
        <w:t>get_backtest研究中获取回测与模拟交易信息</w:t>
      </w:r>
    </w:p>
    <w:p>
      <w:pPr>
        <w:spacing w:before="120" w:after="120" w:line="288" w:lineRule="auto"/>
        <w:ind w:left="0"/>
        <w:jc w:val="left"/>
      </w:pPr>
      <w:r>
        <w:rPr>
          <w:rFonts w:eastAsia="等线" w:ascii="Arial" w:cs="Arial" w:hAnsi="Arial"/>
          <w:sz w:val="22"/>
        </w:rPr>
        <w:t>normalize_code股票代码格式转换</w:t>
      </w:r>
    </w:p>
    <w:p>
      <w:pPr>
        <w:spacing w:before="120" w:after="120" w:line="288" w:lineRule="auto"/>
        <w:ind w:left="0"/>
        <w:jc w:val="left"/>
      </w:pPr>
      <w:r>
        <w:rPr>
          <w:rFonts w:eastAsia="等线" w:ascii="Arial" w:cs="Arial" w:hAnsi="Arial"/>
          <w:sz w:val="22"/>
        </w:rPr>
        <w:t xml:space="preserve">enable_profile ♠性能分析 </w:t>
      </w:r>
    </w:p>
    <w:p>
      <w:pPr>
        <w:pStyle w:val="3"/>
        <w:spacing w:before="300" w:after="120" w:line="288" w:lineRule="auto"/>
        <w:ind w:left="0"/>
        <w:jc w:val="left"/>
        <w:outlineLvl w:val="2"/>
      </w:pPr>
      <w:bookmarkStart w:name="heading_47" w:id="47"/>
      <w:r>
        <w:rPr>
          <w:rFonts w:eastAsia="等线" w:ascii="Arial" w:cs="Arial" w:hAnsi="Arial"/>
          <w:b w:val="true"/>
          <w:sz w:val="30"/>
        </w:rPr>
        <w:t>策略组合操作</w:t>
      </w:r>
      <w:bookmarkEnd w:id="47"/>
    </w:p>
    <w:p>
      <w:pPr>
        <w:spacing w:before="120" w:after="120" w:line="288" w:lineRule="auto"/>
        <w:ind w:left="0"/>
        <w:jc w:val="left"/>
      </w:pPr>
    </w:p>
    <w:p>
      <w:pPr>
        <w:spacing w:before="120" w:after="120" w:line="288" w:lineRule="auto"/>
        <w:ind w:left="0"/>
        <w:jc w:val="left"/>
      </w:pPr>
      <w:r>
        <w:rPr>
          <w:rFonts w:eastAsia="等线" w:ascii="Arial" w:cs="Arial" w:hAnsi="Arial"/>
          <w:sz w:val="22"/>
        </w:rPr>
        <w:t>名称描述</w:t>
      </w:r>
    </w:p>
    <w:p>
      <w:pPr>
        <w:spacing w:before="120" w:after="120" w:line="288" w:lineRule="auto"/>
        <w:ind w:left="0"/>
        <w:jc w:val="left"/>
      </w:pPr>
      <w:r>
        <w:rPr>
          <w:rFonts w:eastAsia="等线" w:ascii="Arial" w:cs="Arial" w:hAnsi="Arial"/>
          <w:sz w:val="22"/>
        </w:rPr>
        <w:t>set_subportfolios初始化策略子账户 subportfolios</w:t>
      </w:r>
    </w:p>
    <w:p>
      <w:pPr>
        <w:spacing w:before="120" w:after="120" w:line="288" w:lineRule="auto"/>
        <w:ind w:left="0"/>
        <w:jc w:val="left"/>
      </w:pPr>
      <w:r>
        <w:rPr>
          <w:rFonts w:eastAsia="等线" w:ascii="Arial" w:cs="Arial" w:hAnsi="Arial"/>
          <w:sz w:val="22"/>
        </w:rPr>
        <w:t>SubPortfolio子账户信息</w:t>
      </w:r>
    </w:p>
    <w:p>
      <w:pPr>
        <w:spacing w:before="120" w:after="120" w:line="288" w:lineRule="auto"/>
        <w:ind w:left="0"/>
        <w:jc w:val="left"/>
      </w:pPr>
      <w:r>
        <w:rPr>
          <w:rFonts w:eastAsia="等线" w:ascii="Arial" w:cs="Arial" w:hAnsi="Arial"/>
          <w:sz w:val="22"/>
        </w:rPr>
        <w:t>transfer_cash账户间转移资金</w:t>
      </w:r>
    </w:p>
    <w:p>
      <w:pPr>
        <w:pStyle w:val="3"/>
        <w:spacing w:before="300" w:after="120" w:line="288" w:lineRule="auto"/>
        <w:ind w:left="0"/>
        <w:jc w:val="left"/>
        <w:outlineLvl w:val="2"/>
      </w:pPr>
      <w:bookmarkStart w:name="heading_48" w:id="48"/>
      <w:r>
        <w:rPr>
          <w:rFonts w:eastAsia="等线" w:ascii="Arial" w:cs="Arial" w:hAnsi="Arial"/>
          <w:b w:val="true"/>
          <w:sz w:val="30"/>
        </w:rPr>
        <w:t>Tick 级策略专用函数</w:t>
      </w:r>
      <w:bookmarkEnd w:id="48"/>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Tick级回测模拟需要权限才可以开通：</w:t>
      </w:r>
      <w:hyperlink r:id="rId100">
        <w:r>
          <w:rPr>
            <w:rFonts w:eastAsia="等线" w:ascii="Arial" w:cs="Arial" w:hAnsi="Arial"/>
            <w:b w:val="true"/>
            <w:color w:val="3370ff"/>
            <w:sz w:val="22"/>
          </w:rPr>
          <w:t>立即加入会员获取tick权限</w:t>
        </w:r>
      </w:hyperlink>
      <w:r>
        <w:rPr>
          <w:rFonts w:eastAsia="等线" w:ascii="Arial" w:cs="Arial" w:hAnsi="Arial"/>
          <w:b w:val="true"/>
          <w:sz w:val="22"/>
        </w:rPr>
        <w:t>或者</w:t>
      </w:r>
      <w:hyperlink r:id="rId101">
        <w:r>
          <w:rPr>
            <w:rFonts w:eastAsia="等线" w:ascii="Arial" w:cs="Arial" w:hAnsi="Arial"/>
            <w:b w:val="true"/>
            <w:color w:val="3370ff"/>
            <w:sz w:val="22"/>
          </w:rPr>
          <w:t>使用积分兑换tick权限</w:t>
        </w:r>
      </w:hyperlink>
    </w:p>
    <w:p>
      <w:pPr>
        <w:spacing w:before="120" w:after="120" w:line="288" w:lineRule="auto"/>
        <w:ind w:left="0"/>
        <w:jc w:val="left"/>
      </w:pPr>
      <w:r>
        <w:rPr>
          <w:rFonts w:eastAsia="等线" w:ascii="Arial" w:cs="Arial" w:hAnsi="Arial"/>
          <w:b w:val="true"/>
          <w:sz w:val="22"/>
        </w:rPr>
        <w:t>注意Tick级回测必须使用真实价格模式，设置方式详见</w:t>
      </w:r>
      <w:hyperlink r:id="rId102">
        <w:r>
          <w:rPr>
            <w:rFonts w:eastAsia="等线" w:ascii="Arial" w:cs="Arial" w:hAnsi="Arial"/>
            <w:b w:val="true"/>
            <w:color w:val="3370ff"/>
            <w:sz w:val="22"/>
          </w:rPr>
          <w:t>设置真实价格模式</w:t>
        </w:r>
      </w:hyperlink>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注意run_daily(??,'every_bar')注册的函数及handle_data不会在tick频率的策略中调用)</w:t>
      </w:r>
    </w:p>
    <w:p>
      <w:pPr>
        <w:numPr>
          <w:numId w:val="201"/>
        </w:numPr>
        <w:spacing w:before="120" w:after="120" w:line="288" w:lineRule="auto"/>
        <w:ind w:left="0"/>
        <w:jc w:val="left"/>
      </w:pPr>
      <w:r>
        <w:rPr>
          <w:rFonts w:eastAsia="等线" w:ascii="Arial" w:cs="Arial" w:hAnsi="Arial"/>
          <w:sz w:val="22"/>
        </w:rPr>
        <w:t>股票部分：支持 2017-01-01 至今的tick数据，提供买五卖五数据，每3秒一次快照</w:t>
      </w:r>
    </w:p>
    <w:p>
      <w:pPr>
        <w:numPr>
          <w:numId w:val="202"/>
        </w:numPr>
        <w:spacing w:before="120" w:after="120" w:line="288" w:lineRule="auto"/>
        <w:ind w:left="0"/>
        <w:jc w:val="left"/>
      </w:pPr>
      <w:r>
        <w:rPr>
          <w:rFonts w:eastAsia="等线" w:ascii="Arial" w:cs="Arial" w:hAnsi="Arial"/>
          <w:sz w:val="22"/>
        </w:rPr>
        <w:t>期货部分：支持 2010-01-01 至今的tick数据，提供买一卖一数据，每0.5秒一次快照</w:t>
      </w:r>
    </w:p>
    <w:p>
      <w:pPr>
        <w:numPr>
          <w:numId w:val="203"/>
        </w:numPr>
        <w:spacing w:before="120" w:after="120" w:line="288" w:lineRule="auto"/>
        <w:ind w:left="0"/>
        <w:jc w:val="left"/>
      </w:pPr>
      <w:r>
        <w:rPr>
          <w:rFonts w:eastAsia="等线" w:ascii="Arial" w:cs="Arial" w:hAnsi="Arial"/>
          <w:sz w:val="22"/>
        </w:rPr>
        <w:t>场内基金：支持 2019-01-01 至今的tick数据，提供买五卖五盘口数据，每3秒一次快照</w:t>
      </w:r>
    </w:p>
    <w:p>
      <w:pPr>
        <w:numPr>
          <w:numId w:val="204"/>
        </w:numPr>
        <w:spacing w:before="120" w:after="120" w:line="288" w:lineRule="auto"/>
        <w:ind w:left="0"/>
        <w:jc w:val="left"/>
      </w:pPr>
      <w:r>
        <w:rPr>
          <w:rFonts w:eastAsia="等线" w:ascii="Arial" w:cs="Arial" w:hAnsi="Arial"/>
          <w:sz w:val="22"/>
        </w:rPr>
        <w:t>指数：支持 2017-01-01 至今的tick数据，每3秒一次快照</w:t>
      </w:r>
    </w:p>
    <w:p>
      <w:pPr>
        <w:pStyle w:val="4"/>
        <w:spacing w:before="260" w:after="120" w:line="288" w:lineRule="auto"/>
        <w:ind w:left="0"/>
        <w:jc w:val="left"/>
        <w:outlineLvl w:val="3"/>
      </w:pPr>
      <w:bookmarkStart w:name="heading_49" w:id="49"/>
      <w:r>
        <w:rPr>
          <w:rFonts w:eastAsia="等线" w:ascii="Arial" w:cs="Arial" w:hAnsi="Arial"/>
          <w:b w:val="true"/>
          <w:sz w:val="28"/>
        </w:rPr>
        <w:t>Tick级专用API</w:t>
      </w:r>
      <w:bookmarkEnd w:id="49"/>
    </w:p>
    <w:p>
      <w:pPr>
        <w:spacing w:before="120" w:after="120" w:line="288" w:lineRule="auto"/>
        <w:ind w:left="0"/>
        <w:jc w:val="left"/>
      </w:pPr>
      <w:r>
        <w:rPr>
          <w:rFonts w:eastAsia="等线" w:ascii="Arial" w:cs="Arial" w:hAnsi="Arial"/>
          <w:sz w:val="22"/>
        </w:rPr>
        <w:t>名称描述</w:t>
      </w:r>
    </w:p>
    <w:p>
      <w:pPr>
        <w:spacing w:before="120" w:after="120" w:line="288" w:lineRule="auto"/>
        <w:ind w:left="0"/>
        <w:jc w:val="left"/>
      </w:pPr>
      <w:r>
        <w:rPr>
          <w:rFonts w:eastAsia="等线" w:ascii="Arial" w:cs="Arial" w:hAnsi="Arial"/>
          <w:sz w:val="22"/>
        </w:rPr>
        <w:t>handle_tick  策略运行</w:t>
      </w:r>
    </w:p>
    <w:p>
      <w:pPr>
        <w:spacing w:before="120" w:after="120" w:line="288" w:lineRule="auto"/>
        <w:ind w:left="0"/>
        <w:jc w:val="left"/>
      </w:pPr>
      <w:r>
        <w:rPr>
          <w:rFonts w:eastAsia="等线" w:ascii="Arial" w:cs="Arial" w:hAnsi="Arial"/>
          <w:sz w:val="22"/>
        </w:rPr>
        <w:t>subscribe  订阅标的的 tick 事件</w:t>
      </w:r>
    </w:p>
    <w:p>
      <w:pPr>
        <w:spacing w:before="120" w:after="120" w:line="288" w:lineRule="auto"/>
        <w:ind w:left="0"/>
        <w:jc w:val="left"/>
      </w:pPr>
      <w:r>
        <w:rPr>
          <w:rFonts w:eastAsia="等线" w:ascii="Arial" w:cs="Arial" w:hAnsi="Arial"/>
          <w:sz w:val="22"/>
        </w:rPr>
        <w:t>unsubscribe  取消订阅标的的 tick 事件</w:t>
      </w:r>
    </w:p>
    <w:p>
      <w:pPr>
        <w:spacing w:before="120" w:after="120" w:line="288" w:lineRule="auto"/>
        <w:ind w:left="0"/>
        <w:jc w:val="left"/>
      </w:pPr>
      <w:r>
        <w:rPr>
          <w:rFonts w:eastAsia="等线" w:ascii="Arial" w:cs="Arial" w:hAnsi="Arial"/>
          <w:sz w:val="22"/>
        </w:rPr>
        <w:t>unsubscribe_all  取消订阅所有 tick 事件</w:t>
      </w:r>
    </w:p>
    <w:p>
      <w:pPr>
        <w:pStyle w:val="4"/>
        <w:spacing w:before="260" w:after="120" w:line="288" w:lineRule="auto"/>
        <w:ind w:left="0"/>
        <w:jc w:val="left"/>
        <w:outlineLvl w:val="3"/>
      </w:pPr>
      <w:bookmarkStart w:name="heading_50" w:id="50"/>
      <w:r>
        <w:rPr>
          <w:rFonts w:eastAsia="等线" w:ascii="Arial" w:cs="Arial" w:hAnsi="Arial"/>
          <w:b w:val="true"/>
          <w:sz w:val="28"/>
        </w:rPr>
        <w:t>Tick级示例策略</w:t>
      </w:r>
      <w:bookmarkEnd w:id="50"/>
    </w:p>
    <w:p>
      <w:pPr>
        <w:pStyle w:val="5"/>
        <w:spacing w:before="240" w:after="120" w:line="288" w:lineRule="auto"/>
        <w:ind w:left="0"/>
        <w:jc w:val="left"/>
        <w:outlineLvl w:val="4"/>
      </w:pPr>
      <w:bookmarkStart w:name="heading_51" w:id="51"/>
      <w:r>
        <w:rPr>
          <w:rFonts w:eastAsia="等线" w:ascii="Arial" w:cs="Arial" w:hAnsi="Arial"/>
          <w:b w:val="true"/>
          <w:sz w:val="24"/>
        </w:rPr>
        <w:t>示例1：</w:t>
      </w:r>
      <w:bookmarkEnd w:id="5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回测时间段2019-06-03到2019-06-04，运行频率设置为tick# 初始化def initialize(context):# 获取起始资金</w:t>
              <w:br/>
              <w:t xml:space="preserve">    init_cash = context.portfolio.starting_cash</w:t>
              <w:br/>
              <w:t xml:space="preserve">    # 交易品种为期货</w:t>
              <w:br/>
              <w:t xml:space="preserve">    set_subportfolios([SubPortfolioConfig(cash=init_cash, type='futures')])</w:t>
              <w:br/>
              <w:t xml:space="preserve">    # 定义一个全局变量, 保存要操作的期货</w:t>
              <w:br/>
              <w:t xml:space="preserve">    g.code1 = 'RB1909.XSGE'# 08:30运行自定义开盘前运行函数</w:t>
              <w:br/>
              <w:t xml:space="preserve">    run_daily(before_market_open, time='08:30', reference_security='RB9999.XSGE')</w:t>
              <w:br/>
              <w:t xml:space="preserve">    # 15:30运行自定义收盘后运行函数</w:t>
              <w:br/>
              <w:t xml:space="preserve">    run_daily(after_market_open, time='15:30', reference_security='RB9999.XSGE')</w:t>
              <w:br/>
              <w:br/>
              <w:t># 开盘前运行函数def before_market_open(context):# 订阅要操作的期货</w:t>
              <w:br/>
              <w:t xml:space="preserve">    subscribe(g.code1, 'tick')</w:t>
              <w:br/>
              <w:br/>
              <w:t># 有tick事件时运行函数def handle_tick(context, tick):# 获取最新的 tick 数据</w:t>
              <w:br/>
              <w:t xml:space="preserve">    tick_data = get_current_tick(g.code1)</w:t>
              <w:br/>
              <w:t xml:space="preserve">    print(tick_data)</w:t>
              <w:br/>
              <w:br/>
              <w:t># 收盘后运行函数def after_market_close(context):# 取消今天订阅的标的</w:t>
              <w:br/>
            </w:r>
            <w:r>
              <w:rPr>
                <w:rFonts w:eastAsia="Consolas" w:ascii="Consolas" w:cs="Consolas" w:hAnsi="Consolas"/>
                <w:sz w:val="22"/>
              </w:rPr>
              <w:t xml:space="preserve">    unsubscribe_all()</w:t>
            </w:r>
          </w:p>
        </w:tc>
      </w:tr>
    </w:tbl>
    <w:p>
      <w:pPr>
        <w:pStyle w:val="5"/>
        <w:spacing w:before="240" w:after="120" w:line="288" w:lineRule="auto"/>
        <w:ind w:left="0"/>
        <w:jc w:val="left"/>
        <w:outlineLvl w:val="4"/>
      </w:pPr>
      <w:bookmarkStart w:name="heading_52" w:id="52"/>
      <w:r>
        <w:rPr>
          <w:rFonts w:eastAsia="等线" w:ascii="Arial" w:cs="Arial" w:hAnsi="Arial"/>
          <w:b w:val="true"/>
          <w:sz w:val="24"/>
        </w:rPr>
        <w:t>示例2：</w:t>
      </w:r>
      <w:bookmarkEnd w:id="5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导入函数库import jqdata</w:t>
              <w:br/>
              <w:t>def initialize(context):</w:t>
              <w:br/>
              <w:t xml:space="preserve">    set_benchmark('000300.XSHG')</w:t>
              <w:br/>
              <w:t xml:space="preserve">    set_option('use_real_price', True)</w:t>
              <w:br/>
              <w:t xml:space="preserve">    set_order_cost(OrderCost(close_tax=0.001, open_commission=0.0003, close_commission=0.0003, min_commission=5), type='stock')</w:t>
              <w:br/>
              <w:br/>
              <w:t>def before_trading_start(context):</w:t>
              <w:br/>
              <w:t xml:space="preserve">    subscribe('000001.XSHE','tick')</w:t>
              <w:br/>
              <w:br/>
              <w:t>def handle_tick(context, tick):</w:t>
              <w:br/>
              <w:t xml:space="preserve">    log.info(tick)</w:t>
              <w:br/>
              <w:br/>
              <w:t>def after_trading_end(context):</w:t>
              <w:br/>
            </w:r>
            <w:r>
              <w:rPr>
                <w:rFonts w:eastAsia="Consolas" w:ascii="Consolas" w:cs="Consolas" w:hAnsi="Consolas"/>
                <w:sz w:val="22"/>
              </w:rPr>
              <w:t xml:space="preserve">    unsubscribe_all()</w:t>
            </w:r>
          </w:p>
        </w:tc>
      </w:tr>
    </w:tbl>
    <w:p>
      <w:pPr>
        <w:pStyle w:val="3"/>
        <w:spacing w:before="300" w:after="120" w:line="288" w:lineRule="auto"/>
        <w:ind w:left="0"/>
        <w:jc w:val="left"/>
        <w:outlineLvl w:val="2"/>
      </w:pPr>
      <w:bookmarkStart w:name="heading_53" w:id="53"/>
      <w:r>
        <w:rPr>
          <w:rFonts w:eastAsia="等线" w:ascii="Arial" w:cs="Arial" w:hAnsi="Arial"/>
          <w:b w:val="true"/>
          <w:sz w:val="30"/>
        </w:rPr>
        <w:t>融资融券专用函数</w:t>
      </w:r>
      <w:bookmarkEnd w:id="53"/>
    </w:p>
    <w:p>
      <w:pPr>
        <w:spacing w:before="120" w:after="120" w:line="288" w:lineRule="auto"/>
        <w:ind w:left="0"/>
        <w:jc w:val="left"/>
      </w:pPr>
      <w:r>
        <w:rPr>
          <w:rFonts w:eastAsia="等线" w:ascii="Arial" w:cs="Arial" w:hAnsi="Arial"/>
          <w:sz w:val="22"/>
        </w:rPr>
        <w:t xml:space="preserve"> </w:t>
      </w:r>
    </w:p>
    <w:p>
      <w:pPr>
        <w:pStyle w:val="4"/>
        <w:spacing w:before="260" w:after="120" w:line="288" w:lineRule="auto"/>
        <w:ind w:left="0"/>
        <w:jc w:val="left"/>
        <w:outlineLvl w:val="3"/>
      </w:pPr>
      <w:bookmarkStart w:name="heading_54" w:id="54"/>
      <w:r>
        <w:rPr>
          <w:rFonts w:eastAsia="等线" w:ascii="Arial" w:cs="Arial" w:hAnsi="Arial"/>
          <w:b w:val="true"/>
          <w:sz w:val="28"/>
        </w:rPr>
        <w:t>初始化融资融券账户</w:t>
      </w:r>
      <w:bookmarkEnd w:id="54"/>
    </w:p>
    <w:p>
      <w:pPr>
        <w:spacing w:before="120" w:after="120" w:line="288" w:lineRule="auto"/>
        <w:ind w:left="0"/>
        <w:jc w:val="left"/>
      </w:pPr>
      <w:r>
        <w:rPr>
          <w:rFonts w:eastAsia="等线" w:ascii="Arial" w:cs="Arial" w:hAnsi="Arial"/>
          <w:sz w:val="22"/>
        </w:rPr>
        <w:t>初始化的仓位是</w:t>
      </w:r>
      <w:r>
        <w:rPr>
          <w:rFonts w:eastAsia="等线" w:ascii="Arial" w:cs="Arial" w:hAnsi="Arial"/>
          <w:b w:val="true"/>
          <w:sz w:val="22"/>
        </w:rPr>
        <w:t>不允许</w:t>
      </w:r>
      <w:r>
        <w:rPr>
          <w:rFonts w:eastAsia="等线" w:ascii="Arial" w:cs="Arial" w:hAnsi="Arial"/>
          <w:sz w:val="22"/>
        </w:rPr>
        <w:t>直接进行融资融券操作的，因为初始默认 subportfolios[0] 中 SubPortfolioConfig 的 type = 'stock'，只允许买卖股票与场内基金等。</w:t>
      </w:r>
    </w:p>
    <w:p>
      <w:pPr>
        <w:spacing w:before="120" w:after="120" w:line="288" w:lineRule="auto"/>
        <w:ind w:left="0"/>
        <w:jc w:val="left"/>
      </w:pPr>
      <w:r>
        <w:rPr>
          <w:rFonts w:eastAsia="等线" w:ascii="Arial" w:cs="Arial" w:hAnsi="Arial"/>
          <w:sz w:val="22"/>
        </w:rPr>
        <w:t>因此要进行融资融券，您需要设定 SubPortfolioConfig 的 type = 'stock_margin'，具体方法如下：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def initialize(context):## 设置单个账户# 获取初始资金</w:t>
              <w:br/>
              <w:t xml:space="preserve">    init_cash = context.portfolio.starting_cash </w:t>
              <w:br/>
              <w:t xml:space="preserve">    # 设定账户为融资融券账户，初始资金为 init_cash 变量代表的数值（如不使用设置多账户，默认只有subportfolios[0]一个账户，Portfolio 指向该账户。）</w:t>
              <w:br/>
              <w:t xml:space="preserve">    set_subportfolios([SubPortfolioConfig(cash=init_cash, type='stock_margin')])</w:t>
              <w:br/>
              <w:br/>
              <w:t xml:space="preserve">    — — — — — — — — — — — — — — — — — — — — — — — — — — — — — — —</w:t>
              <w:br/>
              <w:t xml:space="preserve">    ## 设置多个账户# 获取初始资金，并等分为三份</w:t>
              <w:br/>
              <w:t xml:space="preserve">    init_cash = context.portfolio.starting_cash/3# 设定subportfolios[0]为 股票和基金仓位，初始资金为 init_cash 变量代表的数值# 设定subportfolios[1]为 金融期货仓位，初始资金为 init_cash 变量代表的数值# 设定subportfolios[2]为 融资融券账户，初始资金为 init_cash 变量代表的数值</w:t>
              <w:br/>
              <w:t xml:space="preserve">    set_subportfolios([SubPortfolioConfig(cash=init_cash, type='stock'),\</w:t>
              <w:br/>
              <w:t xml:space="preserve">                       SubPortfolioConfig(cash=init_cash, type='index_futures'),\</w:t>
              <w:br/>
            </w:r>
            <w:r>
              <w:rPr>
                <w:rFonts w:eastAsia="Consolas" w:ascii="Consolas" w:cs="Consolas" w:hAnsi="Consolas"/>
                <w:sz w:val="22"/>
              </w:rPr>
              <w:t xml:space="preserve">                       SubPortfolioConfig(cash=init_cash, type='stock_margin')])</w:t>
            </w:r>
          </w:p>
        </w:tc>
      </w:tr>
    </w:tbl>
    <w:p>
      <w:pPr>
        <w:pStyle w:val="4"/>
        <w:spacing w:before="260" w:after="120" w:line="288" w:lineRule="auto"/>
        <w:ind w:left="0"/>
        <w:jc w:val="left"/>
        <w:outlineLvl w:val="3"/>
      </w:pPr>
      <w:bookmarkStart w:name="heading_55" w:id="55"/>
      <w:r>
        <w:rPr>
          <w:rFonts w:eastAsia="等线" w:ascii="Arial" w:cs="Arial" w:hAnsi="Arial"/>
          <w:b w:val="true"/>
          <w:sz w:val="28"/>
        </w:rPr>
        <w:t>融资融券专用API</w:t>
      </w:r>
      <w:bookmarkEnd w:id="55"/>
    </w:p>
    <w:p>
      <w:pPr>
        <w:spacing w:before="120" w:after="120" w:line="288" w:lineRule="auto"/>
        <w:ind w:left="0"/>
        <w:jc w:val="left"/>
      </w:pPr>
      <w:r>
        <w:rPr>
          <w:rFonts w:eastAsia="等线" w:ascii="Arial" w:cs="Arial" w:hAnsi="Arial"/>
          <w:b w:val="true"/>
          <w:sz w:val="22"/>
        </w:rPr>
        <w:t>注意：get_marginsec_stocks和get_margincash_stocks无法获取当前未完结交易日的数据，因为交易所的数据尚未生成。</w:t>
      </w:r>
    </w:p>
    <w:p>
      <w:pPr>
        <w:spacing w:before="120" w:after="120" w:line="288" w:lineRule="auto"/>
        <w:ind w:left="0"/>
        <w:jc w:val="left"/>
      </w:pPr>
      <w:r>
        <w:rPr>
          <w:rFonts w:eastAsia="等线" w:ascii="Arial" w:cs="Arial" w:hAnsi="Arial"/>
          <w:sz w:val="22"/>
        </w:rPr>
        <w:t>名称描述</w:t>
      </w:r>
    </w:p>
    <w:p>
      <w:pPr>
        <w:spacing w:before="120" w:after="120" w:line="288" w:lineRule="auto"/>
        <w:ind w:left="0"/>
        <w:jc w:val="left"/>
      </w:pPr>
      <w:r>
        <w:rPr>
          <w:rFonts w:eastAsia="等线" w:ascii="Arial" w:cs="Arial" w:hAnsi="Arial"/>
          <w:sz w:val="22"/>
        </w:rPr>
        <w:t>margincash_interest_rate   设置融资利率</w:t>
      </w:r>
    </w:p>
    <w:p>
      <w:pPr>
        <w:spacing w:before="120" w:after="120" w:line="288" w:lineRule="auto"/>
        <w:ind w:left="0"/>
        <w:jc w:val="left"/>
      </w:pPr>
      <w:r>
        <w:rPr>
          <w:rFonts w:eastAsia="等线" w:ascii="Arial" w:cs="Arial" w:hAnsi="Arial"/>
          <w:sz w:val="22"/>
        </w:rPr>
        <w:t>margincash_margin_rate   设置融资保证金比率</w:t>
      </w:r>
    </w:p>
    <w:p>
      <w:pPr>
        <w:spacing w:before="120" w:after="120" w:line="288" w:lineRule="auto"/>
        <w:ind w:left="0"/>
        <w:jc w:val="left"/>
      </w:pPr>
      <w:r>
        <w:rPr>
          <w:rFonts w:eastAsia="等线" w:ascii="Arial" w:cs="Arial" w:hAnsi="Arial"/>
          <w:sz w:val="22"/>
        </w:rPr>
        <w:t>marginsec_interest_rate  设置融券利率</w:t>
      </w:r>
    </w:p>
    <w:p>
      <w:pPr>
        <w:spacing w:before="120" w:after="120" w:line="288" w:lineRule="auto"/>
        <w:ind w:left="0"/>
        <w:jc w:val="left"/>
      </w:pPr>
      <w:r>
        <w:rPr>
          <w:rFonts w:eastAsia="等线" w:ascii="Arial" w:cs="Arial" w:hAnsi="Arial"/>
          <w:sz w:val="22"/>
        </w:rPr>
        <w:t>marginsec_margin_rate   设置融券保证金比率</w:t>
      </w:r>
    </w:p>
    <w:p>
      <w:pPr>
        <w:spacing w:before="120" w:after="120" w:line="288" w:lineRule="auto"/>
        <w:ind w:left="0"/>
        <w:jc w:val="left"/>
      </w:pPr>
      <w:r>
        <w:rPr>
          <w:rFonts w:eastAsia="等线" w:ascii="Arial" w:cs="Arial" w:hAnsi="Arial"/>
          <w:sz w:val="22"/>
        </w:rPr>
        <w:t>margincash_open  融资买入</w:t>
      </w:r>
    </w:p>
    <w:p>
      <w:pPr>
        <w:spacing w:before="120" w:after="120" w:line="288" w:lineRule="auto"/>
        <w:ind w:left="0"/>
        <w:jc w:val="left"/>
      </w:pPr>
      <w:r>
        <w:rPr>
          <w:rFonts w:eastAsia="等线" w:ascii="Arial" w:cs="Arial" w:hAnsi="Arial"/>
          <w:sz w:val="22"/>
        </w:rPr>
        <w:t>margincash_close  卖券还款</w:t>
      </w:r>
    </w:p>
    <w:p>
      <w:pPr>
        <w:spacing w:before="120" w:after="120" w:line="288" w:lineRule="auto"/>
        <w:ind w:left="0"/>
        <w:jc w:val="left"/>
      </w:pPr>
      <w:r>
        <w:rPr>
          <w:rFonts w:eastAsia="等线" w:ascii="Arial" w:cs="Arial" w:hAnsi="Arial"/>
          <w:sz w:val="22"/>
        </w:rPr>
        <w:t>margincash_direct_refund  直接还款</w:t>
      </w:r>
    </w:p>
    <w:p>
      <w:pPr>
        <w:spacing w:before="120" w:after="120" w:line="288" w:lineRule="auto"/>
        <w:ind w:left="0"/>
        <w:jc w:val="left"/>
      </w:pPr>
      <w:r>
        <w:rPr>
          <w:rFonts w:eastAsia="等线" w:ascii="Arial" w:cs="Arial" w:hAnsi="Arial"/>
          <w:sz w:val="22"/>
        </w:rPr>
        <w:t>marginsec_open   融券卖出</w:t>
      </w:r>
    </w:p>
    <w:p>
      <w:pPr>
        <w:spacing w:before="120" w:after="120" w:line="288" w:lineRule="auto"/>
        <w:ind w:left="0"/>
        <w:jc w:val="left"/>
      </w:pPr>
      <w:r>
        <w:rPr>
          <w:rFonts w:eastAsia="等线" w:ascii="Arial" w:cs="Arial" w:hAnsi="Arial"/>
          <w:sz w:val="22"/>
        </w:rPr>
        <w:t>marginsec_close  买券还券</w:t>
      </w:r>
    </w:p>
    <w:p>
      <w:pPr>
        <w:spacing w:before="120" w:after="120" w:line="288" w:lineRule="auto"/>
        <w:ind w:left="0"/>
        <w:jc w:val="left"/>
      </w:pPr>
      <w:r>
        <w:rPr>
          <w:rFonts w:eastAsia="等线" w:ascii="Arial" w:cs="Arial" w:hAnsi="Arial"/>
          <w:sz w:val="22"/>
        </w:rPr>
        <w:t>marginsec_direct_refund  直接还券</w:t>
      </w:r>
    </w:p>
    <w:p>
      <w:pPr>
        <w:spacing w:before="120" w:after="120" w:line="288" w:lineRule="auto"/>
        <w:ind w:left="0"/>
        <w:jc w:val="left"/>
      </w:pPr>
      <w:r>
        <w:rPr>
          <w:rFonts w:eastAsia="等线" w:ascii="Arial" w:cs="Arial" w:hAnsi="Arial"/>
          <w:sz w:val="22"/>
        </w:rPr>
        <w:t>get_margincash_stocks  获取融资标的列表</w:t>
      </w:r>
    </w:p>
    <w:p>
      <w:pPr>
        <w:spacing w:before="120" w:after="120" w:line="288" w:lineRule="auto"/>
        <w:ind w:left="0"/>
        <w:jc w:val="left"/>
      </w:pPr>
      <w:r>
        <w:rPr>
          <w:rFonts w:eastAsia="等线" w:ascii="Arial" w:cs="Arial" w:hAnsi="Arial"/>
          <w:sz w:val="22"/>
        </w:rPr>
        <w:t>get_marginsec_stocks  获取融券标的列表</w:t>
      </w:r>
    </w:p>
    <w:p>
      <w:pPr>
        <w:spacing w:before="120" w:after="120" w:line="288" w:lineRule="auto"/>
        <w:ind w:left="0"/>
        <w:jc w:val="left"/>
      </w:pPr>
      <w:r>
        <w:rPr>
          <w:rFonts w:eastAsia="等线" w:ascii="Arial" w:cs="Arial" w:hAnsi="Arial"/>
          <w:sz w:val="22"/>
        </w:rPr>
        <w:t>get_mtss  获取融资融券信息</w:t>
      </w:r>
    </w:p>
    <w:p>
      <w:pPr>
        <w:pStyle w:val="3"/>
        <w:spacing w:before="300" w:after="120" w:line="288" w:lineRule="auto"/>
        <w:ind w:left="0"/>
        <w:jc w:val="left"/>
        <w:outlineLvl w:val="2"/>
      </w:pPr>
      <w:bookmarkStart w:name="heading_56" w:id="56"/>
      <w:r>
        <w:rPr>
          <w:rFonts w:eastAsia="等线" w:ascii="Arial" w:cs="Arial" w:hAnsi="Arial"/>
          <w:b w:val="true"/>
          <w:sz w:val="30"/>
        </w:rPr>
        <w:t>期货策略专用函数</w:t>
      </w:r>
      <w:bookmarkEnd w:id="56"/>
    </w:p>
    <w:p>
      <w:pPr>
        <w:spacing w:before="120" w:after="120" w:line="288" w:lineRule="auto"/>
        <w:ind w:left="0"/>
        <w:jc w:val="left"/>
      </w:pPr>
      <w:r>
        <w:rPr>
          <w:rFonts w:eastAsia="等线" w:ascii="Arial" w:cs="Arial" w:hAnsi="Arial"/>
          <w:sz w:val="22"/>
        </w:rPr>
        <w:t xml:space="preserve"> </w:t>
      </w:r>
    </w:p>
    <w:p>
      <w:pPr>
        <w:pStyle w:val="4"/>
        <w:spacing w:before="260" w:after="120" w:line="288" w:lineRule="auto"/>
        <w:ind w:left="0"/>
        <w:jc w:val="left"/>
        <w:outlineLvl w:val="3"/>
      </w:pPr>
      <w:bookmarkStart w:name="heading_57" w:id="57"/>
      <w:r>
        <w:rPr>
          <w:rFonts w:eastAsia="等线" w:ascii="Arial" w:cs="Arial" w:hAnsi="Arial"/>
          <w:b w:val="true"/>
          <w:sz w:val="28"/>
        </w:rPr>
        <w:t>初始化期货账户</w:t>
      </w:r>
      <w:bookmarkEnd w:id="57"/>
    </w:p>
    <w:p>
      <w:pPr>
        <w:spacing w:before="120" w:after="120" w:line="288" w:lineRule="auto"/>
        <w:ind w:left="0"/>
        <w:jc w:val="left"/>
      </w:pPr>
      <w:r>
        <w:rPr>
          <w:rFonts w:eastAsia="等线" w:ascii="Arial" w:cs="Arial" w:hAnsi="Arial"/>
          <w:sz w:val="22"/>
        </w:rPr>
        <w:t>初始化的仓位是</w:t>
      </w:r>
      <w:r>
        <w:rPr>
          <w:rFonts w:eastAsia="等线" w:ascii="Arial" w:cs="Arial" w:hAnsi="Arial"/>
          <w:b w:val="true"/>
          <w:sz w:val="22"/>
        </w:rPr>
        <w:t>不允许</w:t>
      </w:r>
      <w:r>
        <w:rPr>
          <w:rFonts w:eastAsia="等线" w:ascii="Arial" w:cs="Arial" w:hAnsi="Arial"/>
          <w:sz w:val="22"/>
        </w:rPr>
        <w:t>直接买卖期货的，因为初始默认 subportfolios[0] 中 SubPortfolioConfig 的 type = 'stock'，只允许买卖股票与场内基金等。</w:t>
        <w:br/>
      </w:r>
      <w:r>
        <w:rPr>
          <w:rFonts w:eastAsia="等线" w:ascii="Arial" w:cs="Arial" w:hAnsi="Arial"/>
          <w:b w:val="true"/>
          <w:sz w:val="22"/>
        </w:rPr>
        <w:t>因此要买卖期货，您需要设定 SubPortfolioConfig 的 type = 'futures'</w:t>
      </w:r>
      <w:r>
        <w:rPr>
          <w:rFonts w:eastAsia="等线" w:ascii="Arial" w:cs="Arial" w:hAnsi="Arial"/>
          <w:sz w:val="22"/>
        </w:rPr>
        <w:t>，具体方法如下：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def initialize(context):## 设置单个账户# 获取初始资金</w:t>
              <w:br/>
              <w:t xml:space="preserve">    init_cash = context.portfolio.starting_cash </w:t>
              <w:br/>
              <w:t xml:space="preserve">    # 设定账户为金融账户，初始资金为 init_cash 变量代表的数值（如不使用设置多账户，默认只有subportfolios[0]一个账户，Portfolio 指向该账户。）</w:t>
              <w:br/>
              <w:t xml:space="preserve">    set_subportfolios([SubPortfolioConfig(cash=init_cash, type='futures')])</w:t>
              <w:br/>
              <w:br/>
              <w:t xml:space="preserve">    # 设置运行函数的参考(market_open为自定义函数，需要自己实现；参考标的默认为沪深300，需要根据策略自己设置，下面只是举例)</w:t>
              <w:br/>
            </w:r>
            <w:r>
              <w:rPr>
                <w:rFonts w:eastAsia="Consolas" w:ascii="Consolas" w:cs="Consolas" w:hAnsi="Consolas"/>
                <w:sz w:val="22"/>
              </w:rPr>
              <w:t xml:space="preserve">    run_daily(market_open, time='every_bar', reference_security='CU9999.XSGE')</w:t>
            </w:r>
          </w:p>
        </w:tc>
      </w:tr>
    </w:tbl>
    <w:p>
      <w:pPr>
        <w:pStyle w:val="4"/>
        <w:spacing w:before="260" w:after="120" w:line="288" w:lineRule="auto"/>
        <w:ind w:left="0"/>
        <w:jc w:val="left"/>
        <w:outlineLvl w:val="3"/>
      </w:pPr>
      <w:bookmarkStart w:name="heading_58" w:id="58"/>
      <w:r>
        <w:rPr>
          <w:rFonts w:eastAsia="等线" w:ascii="Arial" w:cs="Arial" w:hAnsi="Arial"/>
          <w:b w:val="true"/>
          <w:sz w:val="28"/>
        </w:rPr>
        <w:t>期货信息</w:t>
      </w:r>
      <w:bookmarkEnd w:id="58"/>
    </w:p>
    <w:p>
      <w:pPr>
        <w:spacing w:before="120" w:after="120" w:line="288" w:lineRule="auto"/>
        <w:ind w:left="0"/>
        <w:jc w:val="left"/>
      </w:pPr>
      <w:r>
        <w:rPr>
          <w:rFonts w:eastAsia="等线" w:ascii="Arial" w:cs="Arial" w:hAnsi="Arial"/>
          <w:sz w:val="22"/>
        </w:rPr>
        <w:t>名称描述</w:t>
      </w:r>
    </w:p>
    <w:p>
      <w:pPr>
        <w:spacing w:before="120" w:after="120" w:line="288" w:lineRule="auto"/>
        <w:ind w:left="0"/>
        <w:jc w:val="left"/>
      </w:pPr>
      <w:r>
        <w:rPr>
          <w:rFonts w:eastAsia="等线" w:ascii="Arial" w:cs="Arial" w:hAnsi="Arial"/>
          <w:sz w:val="22"/>
        </w:rPr>
        <w:t>主力连续合约主力连续合约信息</w:t>
      </w:r>
    </w:p>
    <w:p>
      <w:pPr>
        <w:spacing w:before="120" w:after="120" w:line="288" w:lineRule="auto"/>
        <w:ind w:left="0"/>
        <w:jc w:val="left"/>
      </w:pPr>
      <w:r>
        <w:rPr>
          <w:rFonts w:eastAsia="等线" w:ascii="Arial" w:cs="Arial" w:hAnsi="Arial"/>
          <w:sz w:val="22"/>
        </w:rPr>
        <w:t>品种指数品种指数信息</w:t>
      </w:r>
    </w:p>
    <w:p>
      <w:pPr>
        <w:spacing w:before="120" w:after="120" w:line="288" w:lineRule="auto"/>
        <w:ind w:left="0"/>
        <w:jc w:val="left"/>
      </w:pPr>
      <w:r>
        <w:rPr>
          <w:rFonts w:eastAsia="等线" w:ascii="Arial" w:cs="Arial" w:hAnsi="Arial"/>
          <w:sz w:val="22"/>
        </w:rPr>
        <w:t>期货注意事项期货策略注意事项</w:t>
      </w:r>
    </w:p>
    <w:p>
      <w:pPr>
        <w:pStyle w:val="4"/>
        <w:spacing w:before="260" w:after="120" w:line="288" w:lineRule="auto"/>
        <w:ind w:left="0"/>
        <w:jc w:val="left"/>
        <w:outlineLvl w:val="3"/>
      </w:pPr>
      <w:bookmarkStart w:name="heading_59" w:id="59"/>
      <w:r>
        <w:rPr>
          <w:rFonts w:eastAsia="等线" w:ascii="Arial" w:cs="Arial" w:hAnsi="Arial"/>
          <w:b w:val="true"/>
          <w:sz w:val="28"/>
        </w:rPr>
        <w:t>期货专用API</w:t>
      </w:r>
      <w:bookmarkEnd w:id="59"/>
    </w:p>
    <w:p>
      <w:pPr>
        <w:spacing w:before="120" w:after="120" w:line="288" w:lineRule="auto"/>
        <w:ind w:left="0"/>
        <w:jc w:val="left"/>
      </w:pPr>
      <w:r>
        <w:rPr>
          <w:rFonts w:eastAsia="等线" w:ascii="Arial" w:cs="Arial" w:hAnsi="Arial"/>
          <w:sz w:val="22"/>
        </w:rPr>
        <w:t>了解更多:</w:t>
      </w:r>
      <w:hyperlink r:id="rId103">
        <w:r>
          <w:rPr>
            <w:rFonts w:eastAsia="等线" w:ascii="Arial" w:cs="Arial" w:hAnsi="Arial"/>
            <w:color w:val="3370ff"/>
            <w:sz w:val="22"/>
          </w:rPr>
          <w:t>关于下单函数的说明</w:t>
        </w:r>
      </w:hyperlink>
    </w:p>
    <w:p>
      <w:pPr>
        <w:spacing w:before="120" w:after="120" w:line="288" w:lineRule="auto"/>
        <w:ind w:left="0"/>
        <w:jc w:val="left"/>
      </w:pPr>
      <w:r>
        <w:rPr>
          <w:rFonts w:eastAsia="等线" w:ascii="Arial" w:cs="Arial" w:hAnsi="Arial"/>
          <w:sz w:val="22"/>
        </w:rPr>
        <w:t>名称描述</w:t>
      </w:r>
    </w:p>
    <w:p>
      <w:pPr>
        <w:spacing w:before="120" w:after="120" w:line="288" w:lineRule="auto"/>
        <w:ind w:left="0"/>
        <w:jc w:val="left"/>
      </w:pPr>
      <w:r>
        <w:rPr>
          <w:rFonts w:eastAsia="等线" w:ascii="Arial" w:cs="Arial" w:hAnsi="Arial"/>
          <w:sz w:val="22"/>
        </w:rPr>
        <w:t>get_dominant_future  获取主力合约对应的标的</w:t>
      </w:r>
    </w:p>
    <w:p>
      <w:pPr>
        <w:spacing w:before="120" w:after="120" w:line="288" w:lineRule="auto"/>
        <w:ind w:left="0"/>
        <w:jc w:val="left"/>
      </w:pPr>
      <w:r>
        <w:rPr>
          <w:rFonts w:eastAsia="等线" w:ascii="Arial" w:cs="Arial" w:hAnsi="Arial"/>
          <w:sz w:val="22"/>
        </w:rPr>
        <w:t>get_future_contracts   期货可交易合约列表</w:t>
      </w:r>
    </w:p>
    <w:p>
      <w:pPr>
        <w:spacing w:before="120" w:after="120" w:line="288" w:lineRule="auto"/>
        <w:ind w:left="0"/>
        <w:jc w:val="left"/>
      </w:pPr>
      <w:r>
        <w:rPr>
          <w:rFonts w:eastAsia="等线" w:ascii="Arial" w:cs="Arial" w:hAnsi="Arial"/>
          <w:sz w:val="22"/>
        </w:rPr>
        <w:t>futures_margin_rate   设置期货保证金比例</w:t>
      </w:r>
    </w:p>
    <w:p>
      <w:pPr>
        <w:spacing w:before="120" w:after="120" w:line="288" w:lineRule="auto"/>
        <w:ind w:left="0"/>
        <w:jc w:val="left"/>
      </w:pPr>
      <w:r>
        <w:rPr>
          <w:rFonts w:eastAsia="等线" w:ascii="Arial" w:cs="Arial" w:hAnsi="Arial"/>
          <w:sz w:val="22"/>
        </w:rPr>
        <w:t>is_dangerous  期货保证金预警</w:t>
      </w:r>
    </w:p>
    <w:p>
      <w:pPr>
        <w:spacing w:before="120" w:after="120" w:line="288" w:lineRule="auto"/>
        <w:ind w:left="0"/>
        <w:jc w:val="left"/>
      </w:pPr>
      <w:r>
        <w:rPr>
          <w:rFonts w:eastAsia="等线" w:ascii="Arial" w:cs="Arial" w:hAnsi="Arial"/>
          <w:sz w:val="22"/>
        </w:rPr>
        <w:t>get_price等  获取期货的行情数据</w:t>
      </w:r>
    </w:p>
    <w:p>
      <w:pPr>
        <w:spacing w:before="120" w:after="120" w:line="288" w:lineRule="auto"/>
        <w:ind w:left="0"/>
        <w:jc w:val="left"/>
      </w:pPr>
      <w:r>
        <w:rPr>
          <w:rFonts w:eastAsia="等线" w:ascii="Arial" w:cs="Arial" w:hAnsi="Arial"/>
          <w:sz w:val="22"/>
        </w:rPr>
        <w:t>order  期货按手数下单</w:t>
      </w:r>
    </w:p>
    <w:p>
      <w:pPr>
        <w:spacing w:before="120" w:after="120" w:line="288" w:lineRule="auto"/>
        <w:ind w:left="0"/>
        <w:jc w:val="left"/>
      </w:pPr>
      <w:r>
        <w:rPr>
          <w:rFonts w:eastAsia="等线" w:ascii="Arial" w:cs="Arial" w:hAnsi="Arial"/>
          <w:sz w:val="22"/>
        </w:rPr>
        <w:t>order_target  期货目标手数下单</w:t>
      </w:r>
    </w:p>
    <w:p>
      <w:pPr>
        <w:spacing w:before="120" w:after="120" w:line="288" w:lineRule="auto"/>
        <w:ind w:left="0"/>
        <w:jc w:val="left"/>
      </w:pPr>
      <w:r>
        <w:rPr>
          <w:rFonts w:eastAsia="等线" w:ascii="Arial" w:cs="Arial" w:hAnsi="Arial"/>
          <w:sz w:val="22"/>
        </w:rPr>
        <w:t>order_value  期货按保证金下单</w:t>
      </w:r>
    </w:p>
    <w:p>
      <w:pPr>
        <w:spacing w:before="120" w:after="120" w:line="288" w:lineRule="auto"/>
        <w:ind w:left="0"/>
        <w:jc w:val="left"/>
      </w:pPr>
      <w:r>
        <w:rPr>
          <w:rFonts w:eastAsia="等线" w:ascii="Arial" w:cs="Arial" w:hAnsi="Arial"/>
          <w:sz w:val="22"/>
        </w:rPr>
        <w:t>order_target_value  期货目标保证金下单</w:t>
      </w:r>
    </w:p>
    <w:p>
      <w:pPr>
        <w:pStyle w:val="3"/>
        <w:spacing w:before="300" w:after="120" w:line="288" w:lineRule="auto"/>
        <w:ind w:left="0"/>
        <w:jc w:val="left"/>
        <w:outlineLvl w:val="2"/>
      </w:pPr>
      <w:bookmarkStart w:name="heading_60" w:id="60"/>
      <w:r>
        <w:rPr>
          <w:rFonts w:eastAsia="等线" w:ascii="Arial" w:cs="Arial" w:hAnsi="Arial"/>
          <w:b w:val="true"/>
          <w:sz w:val="30"/>
        </w:rPr>
        <w:t>归因分析说明</w:t>
      </w:r>
      <w:bookmarkEnd w:id="60"/>
    </w:p>
    <w:p>
      <w:pPr>
        <w:pStyle w:val="4"/>
        <w:spacing w:before="260" w:after="120" w:line="288" w:lineRule="auto"/>
        <w:ind w:left="0"/>
        <w:jc w:val="left"/>
        <w:outlineLvl w:val="3"/>
      </w:pPr>
      <w:bookmarkStart w:name="heading_61" w:id="61"/>
      <w:r>
        <w:rPr>
          <w:rFonts w:eastAsia="等线" w:ascii="Arial" w:cs="Arial" w:hAnsi="Arial"/>
          <w:b w:val="true"/>
          <w:sz w:val="28"/>
        </w:rPr>
        <w:t>净值分析</w:t>
      </w:r>
      <w:bookmarkEnd w:id="61"/>
    </w:p>
    <w:p>
      <w:pPr>
        <w:pStyle w:val="4"/>
        <w:spacing w:before="260" w:after="120" w:line="288" w:lineRule="auto"/>
        <w:ind w:left="0"/>
        <w:jc w:val="left"/>
        <w:outlineLvl w:val="3"/>
      </w:pPr>
      <w:bookmarkStart w:name="heading_62" w:id="62"/>
      <w:r>
        <w:rPr>
          <w:rFonts w:eastAsia="等线" w:ascii="Arial" w:cs="Arial" w:hAnsi="Arial"/>
          <w:b w:val="true"/>
          <w:sz w:val="28"/>
        </w:rPr>
        <w:t>收益分析</w:t>
      </w:r>
      <w:bookmarkEnd w:id="62"/>
    </w:p>
    <w:p>
      <w:pPr>
        <w:numPr>
          <w:numId w:val="205"/>
        </w:numPr>
        <w:spacing w:before="120" w:after="120" w:line="288" w:lineRule="auto"/>
        <w:ind w:left="0"/>
        <w:jc w:val="left"/>
      </w:pPr>
      <w:r>
        <w:rPr>
          <w:rFonts w:eastAsia="等线" w:ascii="Arial" w:cs="Arial" w:hAnsi="Arial"/>
          <w:sz w:val="22"/>
        </w:rPr>
        <w:t>累计收益：累计收益</w:t>
      </w:r>
    </w:p>
    <w:p>
      <w:pPr>
        <w:numPr>
          <w:numId w:val="206"/>
        </w:numPr>
        <w:spacing w:before="120" w:after="120" w:line="288" w:lineRule="auto"/>
        <w:ind w:left="0"/>
        <w:jc w:val="left"/>
      </w:pPr>
      <w:r>
        <w:rPr>
          <w:rFonts w:eastAsia="等线" w:ascii="Arial" w:cs="Arial" w:hAnsi="Arial"/>
          <w:sz w:val="22"/>
        </w:rPr>
        <w:t>对数轴累计收益：对数轴累计收益</w:t>
      </w:r>
    </w:p>
    <w:p>
      <w:pPr>
        <w:numPr>
          <w:numId w:val="207"/>
        </w:numPr>
        <w:spacing w:before="120" w:after="120" w:line="288" w:lineRule="auto"/>
        <w:ind w:left="0"/>
        <w:jc w:val="left"/>
      </w:pPr>
      <w:r>
        <w:rPr>
          <w:rFonts w:eastAsia="等线" w:ascii="Arial" w:cs="Arial" w:hAnsi="Arial"/>
          <w:sz w:val="22"/>
        </w:rPr>
        <w:t>日内收益：每天收益的时间序列图</w:t>
      </w:r>
    </w:p>
    <w:p>
      <w:pPr>
        <w:numPr>
          <w:numId w:val="208"/>
        </w:numPr>
        <w:spacing w:before="120" w:after="120" w:line="288" w:lineRule="auto"/>
        <w:ind w:left="0"/>
        <w:jc w:val="left"/>
      </w:pPr>
      <w:r>
        <w:rPr>
          <w:rFonts w:eastAsia="等线" w:ascii="Arial" w:cs="Arial" w:hAnsi="Arial"/>
          <w:sz w:val="22"/>
        </w:rPr>
        <w:t>滑点对列净值曲线的影响：通过受滑点影响的每日收益计算出的累计收益，受滑点影响的每日收益 = 每日收益 - 滑点 * 每日换手率 * 2</w:t>
      </w:r>
    </w:p>
    <w:p>
      <w:pPr>
        <w:numPr>
          <w:numId w:val="209"/>
        </w:numPr>
        <w:spacing w:before="120" w:after="120" w:line="288" w:lineRule="auto"/>
        <w:ind w:left="0"/>
        <w:jc w:val="left"/>
      </w:pPr>
      <w:r>
        <w:rPr>
          <w:rFonts w:eastAsia="等线" w:ascii="Arial" w:cs="Arial" w:hAnsi="Arial"/>
          <w:sz w:val="22"/>
        </w:rPr>
        <w:t>年度收益：分年度计算的累计收益的终值</w:t>
      </w:r>
    </w:p>
    <w:p>
      <w:pPr>
        <w:numPr>
          <w:numId w:val="210"/>
        </w:numPr>
        <w:spacing w:before="120" w:after="120" w:line="288" w:lineRule="auto"/>
        <w:ind w:left="0"/>
        <w:jc w:val="left"/>
      </w:pPr>
      <w:r>
        <w:rPr>
          <w:rFonts w:eastAsia="等线" w:ascii="Arial" w:cs="Arial" w:hAnsi="Arial"/>
          <w:sz w:val="22"/>
        </w:rPr>
        <w:t>月度收益的时间序列：分月度计算的累计收益的终值</w:t>
      </w:r>
    </w:p>
    <w:p>
      <w:pPr>
        <w:numPr>
          <w:numId w:val="211"/>
        </w:numPr>
        <w:spacing w:before="120" w:after="120" w:line="288" w:lineRule="auto"/>
        <w:ind w:left="0"/>
        <w:jc w:val="left"/>
      </w:pPr>
      <w:r>
        <w:rPr>
          <w:rFonts w:eastAsia="等线" w:ascii="Arial" w:cs="Arial" w:hAnsi="Arial"/>
          <w:sz w:val="22"/>
        </w:rPr>
        <w:t>月度收益热力图：分月度计算的累计收益的终值</w:t>
      </w:r>
    </w:p>
    <w:p>
      <w:pPr>
        <w:numPr>
          <w:numId w:val="212"/>
        </w:numPr>
        <w:spacing w:before="120" w:after="120" w:line="288" w:lineRule="auto"/>
        <w:ind w:left="0"/>
        <w:jc w:val="left"/>
      </w:pPr>
      <w:r>
        <w:rPr>
          <w:rFonts w:eastAsia="等线" w:ascii="Arial" w:cs="Arial" w:hAnsi="Arial"/>
          <w:sz w:val="22"/>
        </w:rPr>
        <w:t>月度收益频次分布图：查看月度收益频次分布</w:t>
      </w:r>
    </w:p>
    <w:p>
      <w:pPr>
        <w:pStyle w:val="4"/>
        <w:spacing w:before="260" w:after="120" w:line="288" w:lineRule="auto"/>
        <w:ind w:left="0"/>
        <w:jc w:val="left"/>
        <w:outlineLvl w:val="3"/>
      </w:pPr>
      <w:bookmarkStart w:name="heading_63" w:id="63"/>
      <w:r>
        <w:rPr>
          <w:rFonts w:eastAsia="等线" w:ascii="Arial" w:cs="Arial" w:hAnsi="Arial"/>
          <w:b w:val="true"/>
          <w:sz w:val="28"/>
        </w:rPr>
        <w:t>风险指标</w:t>
      </w:r>
      <w:bookmarkEnd w:id="63"/>
    </w:p>
    <w:p>
      <w:pPr>
        <w:numPr>
          <w:numId w:val="213"/>
        </w:numPr>
        <w:spacing w:before="120" w:after="120" w:line="288" w:lineRule="auto"/>
        <w:ind w:left="0"/>
        <w:jc w:val="left"/>
      </w:pPr>
      <w:r>
        <w:rPr>
          <w:rFonts w:eastAsia="等线" w:ascii="Arial" w:cs="Arial" w:hAnsi="Arial"/>
          <w:sz w:val="22"/>
        </w:rPr>
        <w:t>滚动beta指标：滚动 6 个月 (21 * 6 个交易日) 和 12 个月 (21 * 12 个交易日) 的 beta</w:t>
      </w:r>
    </w:p>
    <w:p>
      <w:pPr>
        <w:numPr>
          <w:numId w:val="214"/>
        </w:numPr>
        <w:spacing w:before="120" w:after="120" w:line="288" w:lineRule="auto"/>
        <w:ind w:left="0"/>
        <w:jc w:val="left"/>
      </w:pPr>
      <w:r>
        <w:rPr>
          <w:rFonts w:eastAsia="等线" w:ascii="Arial" w:cs="Arial" w:hAnsi="Arial"/>
          <w:sz w:val="22"/>
        </w:rPr>
        <w:t>滚动sharpe指标（6个月时间窗口）：滚动 6 个月 (21 * 6 个交易日) 的夏普比率</w:t>
      </w:r>
    </w:p>
    <w:p>
      <w:pPr>
        <w:numPr>
          <w:numId w:val="215"/>
        </w:numPr>
        <w:spacing w:before="120" w:after="120" w:line="288" w:lineRule="auto"/>
        <w:ind w:left="0"/>
        <w:jc w:val="left"/>
      </w:pPr>
      <w:r>
        <w:rPr>
          <w:rFonts w:eastAsia="等线" w:ascii="Arial" w:cs="Arial" w:hAnsi="Arial"/>
          <w:sz w:val="22"/>
        </w:rPr>
        <w:t>前五大回撤区间：找到前5大回撤区间</w:t>
      </w:r>
    </w:p>
    <w:p>
      <w:pPr>
        <w:pStyle w:val="4"/>
        <w:spacing w:before="260" w:after="120" w:line="288" w:lineRule="auto"/>
        <w:ind w:left="0"/>
        <w:jc w:val="left"/>
        <w:outlineLvl w:val="3"/>
      </w:pPr>
      <w:bookmarkStart w:name="heading_64" w:id="64"/>
      <w:r>
        <w:rPr>
          <w:rFonts w:eastAsia="等线" w:ascii="Arial" w:cs="Arial" w:hAnsi="Arial"/>
          <w:b w:val="true"/>
          <w:sz w:val="28"/>
        </w:rPr>
        <w:t>持仓分析</w:t>
      </w:r>
      <w:bookmarkEnd w:id="64"/>
    </w:p>
    <w:p>
      <w:pPr>
        <w:numPr>
          <w:numId w:val="216"/>
        </w:numPr>
        <w:spacing w:before="120" w:after="120" w:line="288" w:lineRule="auto"/>
        <w:ind w:left="0"/>
        <w:jc w:val="left"/>
      </w:pPr>
      <w:r>
        <w:rPr>
          <w:rFonts w:eastAsia="等线" w:ascii="Arial" w:cs="Arial" w:hAnsi="Arial"/>
          <w:sz w:val="22"/>
        </w:rPr>
        <w:t>前10大持仓：显示股票前10大持仓</w:t>
      </w:r>
    </w:p>
    <w:p>
      <w:pPr>
        <w:numPr>
          <w:numId w:val="217"/>
        </w:numPr>
        <w:spacing w:before="120" w:after="120" w:line="288" w:lineRule="auto"/>
        <w:ind w:left="0"/>
        <w:jc w:val="left"/>
      </w:pPr>
      <w:r>
        <w:rPr>
          <w:rFonts w:eastAsia="等线" w:ascii="Arial" w:cs="Arial" w:hAnsi="Arial"/>
          <w:sz w:val="22"/>
        </w:rPr>
        <w:t>持仓收益：显示股票的持仓收益，其中</w:t>
      </w:r>
      <w:hyperlink r:id="rId104">
        <w:r>
          <w:rPr>
            <w:rFonts w:eastAsia="等线" w:ascii="Arial" w:cs="Arial" w:hAnsi="Arial"/>
            <w:color w:val="3370ff"/>
            <w:sz w:val="22"/>
          </w:rPr>
          <w:t>内部收益率</w:t>
        </w:r>
      </w:hyperlink>
      <w:r>
        <w:rPr>
          <w:rFonts w:eastAsia="等线" w:ascii="Arial" w:cs="Arial" w:hAnsi="Arial"/>
          <w:sz w:val="22"/>
        </w:rPr>
        <w:t>为一项投资可望到达的报酬率。</w:t>
      </w:r>
    </w:p>
    <w:p>
      <w:pPr>
        <w:numPr>
          <w:numId w:val="218"/>
        </w:numPr>
        <w:spacing w:before="120" w:after="120" w:line="288" w:lineRule="auto"/>
        <w:ind w:left="0"/>
        <w:jc w:val="left"/>
      </w:pPr>
      <w:r>
        <w:rPr>
          <w:rFonts w:eastAsia="等线" w:ascii="Arial" w:cs="Arial" w:hAnsi="Arial"/>
          <w:sz w:val="22"/>
        </w:rPr>
        <w:t>日交易股数：每日交易股数的绝对值的和</w:t>
      </w:r>
    </w:p>
    <w:p>
      <w:pPr>
        <w:numPr>
          <w:numId w:val="219"/>
        </w:numPr>
        <w:spacing w:before="120" w:after="120" w:line="288" w:lineRule="auto"/>
        <w:ind w:left="0"/>
        <w:jc w:val="left"/>
      </w:pPr>
      <w:r>
        <w:rPr>
          <w:rFonts w:eastAsia="等线" w:ascii="Arial" w:cs="Arial" w:hAnsi="Arial"/>
          <w:sz w:val="22"/>
        </w:rPr>
        <w:t>日换手率：(每日交易市值的绝对值的和 / 2) / 当日总市值</w:t>
      </w:r>
    </w:p>
    <w:p>
      <w:pPr>
        <w:pStyle w:val="4"/>
        <w:spacing w:before="260" w:after="120" w:line="288" w:lineRule="auto"/>
        <w:ind w:left="0"/>
        <w:jc w:val="left"/>
        <w:outlineLvl w:val="3"/>
      </w:pPr>
      <w:bookmarkStart w:name="heading_65" w:id="65"/>
      <w:r>
        <w:rPr>
          <w:rFonts w:eastAsia="等线" w:ascii="Arial" w:cs="Arial" w:hAnsi="Arial"/>
          <w:b w:val="true"/>
          <w:sz w:val="28"/>
        </w:rPr>
        <w:t>Brinson 归因</w:t>
      </w:r>
      <w:bookmarkEnd w:id="65"/>
    </w:p>
    <w:p>
      <w:pPr>
        <w:numPr>
          <w:numId w:val="220"/>
        </w:numPr>
        <w:spacing w:before="120" w:after="120" w:line="288" w:lineRule="auto"/>
        <w:ind w:left="0"/>
        <w:jc w:val="left"/>
      </w:pPr>
      <w:r>
        <w:rPr>
          <w:rFonts w:eastAsia="等线" w:ascii="Arial" w:cs="Arial" w:hAnsi="Arial"/>
          <w:sz w:val="22"/>
        </w:rPr>
        <w:t>基准指沪深300指数，采用减法超额，详细见</w:t>
      </w:r>
      <w:hyperlink r:id="rId105">
        <w:r>
          <w:rPr>
            <w:rFonts w:eastAsia="等线" w:ascii="Arial" w:cs="Arial" w:hAnsi="Arial"/>
            <w:color w:val="3370ff"/>
            <w:sz w:val="22"/>
          </w:rPr>
          <w:t>Brinson模型介绍</w:t>
        </w:r>
      </w:hyperlink>
    </w:p>
    <w:p>
      <w:pPr>
        <w:numPr>
          <w:numId w:val="221"/>
        </w:numPr>
        <w:spacing w:before="120" w:after="120" w:line="288" w:lineRule="auto"/>
        <w:ind w:left="0"/>
        <w:jc w:val="left"/>
      </w:pPr>
      <w:r>
        <w:rPr>
          <w:rFonts w:eastAsia="等线" w:ascii="Arial" w:cs="Arial" w:hAnsi="Arial"/>
          <w:sz w:val="22"/>
        </w:rPr>
        <w:t>总超额收益：策略相对于基准获得的额外收益，是下面主动配置收益、标的选择收益以及交互效应收益的汇总。</w:t>
      </w:r>
    </w:p>
    <w:p>
      <w:pPr>
        <w:numPr>
          <w:numId w:val="222"/>
        </w:numPr>
        <w:spacing w:before="120" w:after="120" w:line="288" w:lineRule="auto"/>
        <w:ind w:left="0"/>
        <w:jc w:val="left"/>
      </w:pPr>
      <w:r>
        <w:rPr>
          <w:rFonts w:eastAsia="等线" w:ascii="Arial" w:cs="Arial" w:hAnsi="Arial"/>
          <w:sz w:val="22"/>
        </w:rPr>
        <w:t>主动配置收益：主动配置的收益来源于对上涨行业的超配或对下跌行业的低配，是衡量对大类资产强弱走势进行判断的能力。如果大于零则意味着看准了市场大方向，并且高配了好的资产。</w:t>
      </w:r>
    </w:p>
    <w:p>
      <w:pPr>
        <w:numPr>
          <w:numId w:val="223"/>
        </w:numPr>
        <w:spacing w:before="120" w:after="120" w:line="288" w:lineRule="auto"/>
        <w:ind w:left="0"/>
        <w:jc w:val="left"/>
      </w:pPr>
      <w:r>
        <w:rPr>
          <w:rFonts w:eastAsia="等线" w:ascii="Arial" w:cs="Arial" w:hAnsi="Arial"/>
          <w:sz w:val="22"/>
        </w:rPr>
        <w:t>标的选择收益：标的选择的收益来源于对行业中表现好的个股的超配或对行业中表现差个股的低配。是对能否选出高于市场基准收益的资产，即在相同资金分配比例下，能否获得更高的收益能力的衡量。如果大于零则意味着拥有高于市场的个股选择能力。</w:t>
      </w:r>
    </w:p>
    <w:p>
      <w:pPr>
        <w:numPr>
          <w:numId w:val="224"/>
        </w:numPr>
        <w:spacing w:before="120" w:after="120" w:line="288" w:lineRule="auto"/>
        <w:ind w:left="0"/>
        <w:jc w:val="left"/>
      </w:pPr>
      <w:r>
        <w:rPr>
          <w:rFonts w:eastAsia="等线" w:ascii="Arial" w:cs="Arial" w:hAnsi="Arial"/>
          <w:sz w:val="22"/>
        </w:rPr>
        <w:t>互动收益：在总超额收益中，除去主动配置收益和标的选择收益，也就是超额收益中同时收到主动配置与标的选择影响的部分，就是互动收益。</w:t>
      </w:r>
    </w:p>
    <w:p>
      <w:pPr>
        <w:pStyle w:val="4"/>
        <w:spacing w:before="260" w:after="120" w:line="288" w:lineRule="auto"/>
        <w:ind w:left="0"/>
        <w:jc w:val="left"/>
        <w:outlineLvl w:val="3"/>
      </w:pPr>
      <w:bookmarkStart w:name="heading_66" w:id="66"/>
      <w:r>
        <w:rPr>
          <w:rFonts w:eastAsia="等线" w:ascii="Arial" w:cs="Arial" w:hAnsi="Arial"/>
          <w:b w:val="true"/>
          <w:sz w:val="28"/>
        </w:rPr>
        <w:t>因子分析</w:t>
      </w:r>
      <w:bookmarkEnd w:id="66"/>
    </w:p>
    <w:p>
      <w:pPr>
        <w:pStyle w:val="4"/>
        <w:spacing w:before="260" w:after="120" w:line="288" w:lineRule="auto"/>
        <w:ind w:left="0"/>
        <w:jc w:val="left"/>
        <w:outlineLvl w:val="3"/>
      </w:pPr>
      <w:bookmarkStart w:name="heading_67" w:id="67"/>
      <w:r>
        <w:rPr>
          <w:rFonts w:eastAsia="等线" w:ascii="Arial" w:cs="Arial" w:hAnsi="Arial"/>
          <w:b w:val="true"/>
          <w:sz w:val="28"/>
        </w:rPr>
        <w:t>风格分析</w:t>
      </w:r>
      <w:bookmarkEnd w:id="67"/>
    </w:p>
    <w:p>
      <w:pPr>
        <w:spacing w:before="120" w:after="120" w:line="288" w:lineRule="auto"/>
        <w:ind w:left="0"/>
        <w:jc w:val="left"/>
      </w:pPr>
      <w:r>
        <w:rPr>
          <w:rFonts w:eastAsia="等线" w:ascii="Arial" w:cs="Arial" w:hAnsi="Arial"/>
          <w:sz w:val="22"/>
        </w:rPr>
        <w:t>Fama-French五因子模型，是将超额收益分为5个因子来解释，具体如下表</w:t>
      </w:r>
    </w:p>
    <w:p>
      <w:pPr>
        <w:spacing w:before="120" w:after="120" w:line="288" w:lineRule="auto"/>
        <w:ind w:left="0"/>
      </w:pPr>
      <w:r>
        <w:object>
          <v:shape id="_x0000_i1026" style="width:414pt;height:197pt;mso-width-percent:0;mso-height-percent:0;mso-width-percent:0;mso-height-percent:0" type="#_x0000_t75" o:ole="">
            <v:imagedata r:id="rId107" o:title=""/>
          </v:shape>
          <o:OLEObject DrawAspect="Icon" ObjectID="_1718471220" ProgID="Excel.Sheet.12" ShapeID="_x0000_i1026" Type="Embed" r:id="rId106"/>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68" w:id="68"/>
      <w:r>
        <w:rPr>
          <w:rFonts w:eastAsia="等线" w:ascii="Arial" w:cs="Arial" w:hAnsi="Arial"/>
          <w:b w:val="true"/>
          <w:sz w:val="28"/>
        </w:rPr>
        <w:t>风险分析</w:t>
      </w:r>
      <w:bookmarkEnd w:id="68"/>
    </w:p>
    <w:p>
      <w:pPr>
        <w:spacing w:before="120" w:after="120" w:line="288" w:lineRule="auto"/>
        <w:ind w:left="0"/>
        <w:jc w:val="left"/>
      </w:pPr>
      <w:r>
        <w:rPr>
          <w:rFonts w:eastAsia="等线" w:ascii="Arial" w:cs="Arial" w:hAnsi="Arial"/>
          <w:sz w:val="22"/>
        </w:rPr>
        <w:t>说明:</w:t>
      </w:r>
    </w:p>
    <w:p>
      <w:pPr>
        <w:numPr>
          <w:numId w:val="225"/>
        </w:numPr>
        <w:spacing w:before="120" w:after="120" w:line="288" w:lineRule="auto"/>
        <w:ind w:left="0"/>
        <w:jc w:val="left"/>
      </w:pPr>
      <w:r>
        <w:rPr>
          <w:rFonts w:eastAsia="等线" w:ascii="Arial" w:cs="Arial" w:hAnsi="Arial"/>
          <w:sz w:val="22"/>
        </w:rPr>
        <w:t xml:space="preserve">风险因子暴露对比中，基准风险因子暴露度为沪深300指数股票池中股票风险暴露的市值加权平均；风险暴露的基准都是 hs300 指数，所以只要时间段是一样的，暴露度就是一样的   </w:t>
      </w:r>
    </w:p>
    <w:p>
      <w:pPr>
        <w:numPr>
          <w:numId w:val="226"/>
        </w:numPr>
        <w:spacing w:before="120" w:after="120" w:line="288" w:lineRule="auto"/>
        <w:ind w:left="0"/>
        <w:jc w:val="left"/>
      </w:pPr>
      <w:r>
        <w:rPr>
          <w:rFonts w:eastAsia="等线" w:ascii="Arial" w:cs="Arial" w:hAnsi="Arial"/>
          <w:sz w:val="22"/>
        </w:rPr>
        <w:t>风险因子暴露对比中，风险因子暴露差值代表了策略组合的风险敞口暴露，如果风险因子暴露差值接近0，说明策略组合对该风险因子是风险中性的，即策略组合不暴露与这个风险因子；因子暴露差值就是回测的组合和基准（hs300）组合风险暴露的差，因为这10个因子是大家公认的风险因子，而基准组合被认为是无风险的；所以大家都认为和基准（hs300）组合风险暴露的差越趋近于0，风险暴露越低，策略收益的稳定性越好；大于或小于基准组合风险，可以参考相应因子的定义，调整对应的持仓，将风险暴露趋近于基准组合风险暴露</w:t>
      </w:r>
    </w:p>
    <w:p>
      <w:pPr>
        <w:numPr>
          <w:numId w:val="227"/>
        </w:numPr>
        <w:spacing w:before="120" w:after="120" w:line="288" w:lineRule="auto"/>
        <w:ind w:left="0"/>
        <w:jc w:val="left"/>
      </w:pPr>
      <w:r>
        <w:rPr>
          <w:rFonts w:eastAsia="等线" w:ascii="Arial" w:cs="Arial" w:hAnsi="Arial"/>
          <w:sz w:val="22"/>
        </w:rPr>
        <w:t xml:space="preserve">收益详情中，Backtest为回测的收益; </w:t>
      </w:r>
    </w:p>
    <w:p>
      <w:pPr>
        <w:numPr>
          <w:numId w:val="228"/>
        </w:numPr>
        <w:spacing w:before="120" w:after="120" w:line="288" w:lineRule="auto"/>
        <w:ind w:left="0"/>
        <w:jc w:val="left"/>
      </w:pPr>
      <w:r>
        <w:rPr>
          <w:rFonts w:eastAsia="等线" w:ascii="Arial" w:cs="Arial" w:hAnsi="Arial"/>
          <w:sz w:val="22"/>
        </w:rPr>
        <w:t xml:space="preserve">收益详情中，国家因子是在巴若风险模型中，横截面线性回归的截距项（一共有10个风格因子，11个行业因子(jq_l1)，和1个国家因子）;国家因子的因子值为常数1，因子收益(线性回归的系数)代表了大盘整体的收益;      </w:t>
      </w:r>
    </w:p>
    <w:p>
      <w:pPr>
        <w:numPr>
          <w:numId w:val="229"/>
        </w:numPr>
        <w:spacing w:before="120" w:after="120" w:line="288" w:lineRule="auto"/>
        <w:ind w:left="0"/>
        <w:jc w:val="left"/>
      </w:pPr>
      <w:r>
        <w:rPr>
          <w:rFonts w:eastAsia="等线" w:ascii="Arial" w:cs="Arial" w:hAnsi="Arial"/>
          <w:sz w:val="22"/>
        </w:rPr>
        <w:t xml:space="preserve">收益详情中，特殊收益是指收益中剔除已知可解释收益（因子收益）之外的，其他不可解释的收益；    </w:t>
      </w:r>
    </w:p>
    <w:p>
      <w:pPr>
        <w:numPr>
          <w:numId w:val="230"/>
        </w:numPr>
        <w:spacing w:before="120" w:after="120" w:line="288" w:lineRule="auto"/>
        <w:ind w:left="0"/>
        <w:jc w:val="left"/>
      </w:pPr>
      <w:r>
        <w:rPr>
          <w:rFonts w:eastAsia="等线" w:ascii="Arial" w:cs="Arial" w:hAnsi="Arial"/>
          <w:sz w:val="22"/>
        </w:rPr>
        <w:t xml:space="preserve">收益详情中，其他的一些收益的解释，点击页面上的提示即可看到；    </w:t>
      </w:r>
    </w:p>
    <w:p>
      <w:pPr>
        <w:spacing w:before="120" w:after="120" w:line="288" w:lineRule="auto"/>
        <w:ind w:left="0"/>
        <w:jc w:val="left"/>
      </w:pPr>
      <w:r>
        <w:rPr>
          <w:rFonts w:eastAsia="等线" w:ascii="Arial" w:cs="Arial" w:hAnsi="Arial"/>
          <w:sz w:val="22"/>
        </w:rPr>
        <w:t>对收益分析的最后一部分就是查看该策略在各个方面和基准相比的偏差，通过10个风格因子来判别，具体解释如下表。</w:t>
      </w:r>
    </w:p>
    <w:p>
      <w:pPr>
        <w:spacing w:before="120" w:after="120" w:line="288" w:lineRule="auto"/>
        <w:ind w:left="0"/>
      </w:pPr>
      <w:r>
        <w:object>
          <v:shape id="_x0000_i1027" style="width:414pt;height:197pt;mso-width-percent:0;mso-height-percent:0;mso-width-percent:0;mso-height-percent:0" type="#_x0000_t75" o:ole="">
            <v:imagedata r:id="rId109" o:title=""/>
          </v:shape>
          <o:OLEObject DrawAspect="Icon" ObjectID="_1718471221" ProgID="Excel.Sheet.12" ShapeID="_x0000_i1027" Type="Embed" r:id="rId108"/>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69" w:id="69"/>
      <w:r>
        <w:rPr>
          <w:rFonts w:eastAsia="等线" w:ascii="Arial" w:cs="Arial" w:hAnsi="Arial"/>
          <w:b w:val="true"/>
          <w:sz w:val="32"/>
        </w:rPr>
        <w:t>策略示例</w:t>
      </w:r>
      <w:bookmarkEnd w:id="69"/>
    </w:p>
    <w:p>
      <w:pPr>
        <w:pStyle w:val="3"/>
        <w:spacing w:before="300" w:after="120" w:line="288" w:lineRule="auto"/>
        <w:ind w:left="0"/>
        <w:jc w:val="left"/>
        <w:outlineLvl w:val="2"/>
      </w:pPr>
      <w:bookmarkStart w:name="heading_70" w:id="70"/>
      <w:r>
        <w:rPr>
          <w:rFonts w:eastAsia="等线" w:ascii="Arial" w:cs="Arial" w:hAnsi="Arial"/>
          <w:b w:val="true"/>
          <w:sz w:val="30"/>
        </w:rPr>
        <w:t>均线策略</w:t>
      </w:r>
      <w:bookmarkEnd w:id="70"/>
    </w:p>
    <w:p>
      <w:pPr>
        <w:spacing w:before="120" w:after="120" w:line="288" w:lineRule="auto"/>
        <w:ind w:left="0"/>
        <w:jc w:val="left"/>
      </w:pPr>
      <w:r>
        <w:rPr>
          <w:rFonts w:eastAsia="等线" w:ascii="Arial" w:cs="Arial" w:hAnsi="Arial"/>
          <w:sz w:val="22"/>
        </w:rPr>
        <w:t>当价格高于5日均线平均价格</w:t>
      </w:r>
      <w:r>
        <w:rPr>
          <w:rFonts w:eastAsia="等线" w:ascii="Arial" w:cs="Arial" w:hAnsi="Arial"/>
          <w:i w:val="true"/>
          <w:sz w:val="22"/>
        </w:rPr>
        <w:t>1.05时买入，当价格低于5日平均价格</w:t>
      </w:r>
      <w:r>
        <w:rPr>
          <w:rFonts w:eastAsia="等线" w:ascii="Arial" w:cs="Arial" w:hAnsi="Arial"/>
          <w:sz w:val="22"/>
        </w:rPr>
        <w:t>0.95时卖出。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导入聚宽函数库import jqdata</w:t>
              <w:br/>
              <w:br/>
              <w:t># 初始化函数，设定要操作的股票、基准等等def initialize(context):# 定义一个全局变量, 保存要操作的股票# 000001(股票:平安银行)</w:t>
              <w:br/>
              <w:t xml:space="preserve">    g.security = '000001.XSHE'# 设定沪深300作为基准</w:t>
              <w:br/>
              <w:t xml:space="preserve">    set_benchmark('000300.XSHG')</w:t>
              <w:br/>
              <w:t xml:space="preserve">    # 开启动态复权模式(真实价格)</w:t>
              <w:br/>
              <w:t xml:space="preserve">    set_option('use_real_price', True)</w:t>
              <w:br/>
              <w:br/>
              <w:t># 每个单位时间(如果按天回测,则每天调用一次,如果按分钟,则每分钟调用一次)调用一次def handle_data(context, data):</w:t>
              <w:br/>
              <w:t xml:space="preserve">    security = g.security</w:t>
              <w:br/>
              <w:t xml:space="preserve">    # 获取股票的收盘价</w:t>
              <w:br/>
              <w:t xml:space="preserve">    close_data = attribute_history(security, 5, '1d', ['close'])</w:t>
              <w:br/>
              <w:t xml:space="preserve">    # 取得过去五天的平均价格</w:t>
              <w:br/>
              <w:t xml:space="preserve">    MA5 = close_data['close'].mean()</w:t>
              <w:br/>
              <w:t xml:space="preserve">    # 取得上一时间点价格</w:t>
              <w:br/>
              <w:t xml:space="preserve">    current_price = close_data['close'][-1]</w:t>
              <w:br/>
              <w:t xml:space="preserve">    # 取得当前的现金</w:t>
              <w:br/>
              <w:t xml:space="preserve">    cash = context.portfolio.available_cash</w:t>
              <w:br/>
              <w:br/>
              <w:t xml:space="preserve">    # 如果上一时间点价格高出五天平均价5%, 则全仓买入if (current_price &gt; 1.05*MA5) and (cash&gt;0):</w:t>
              <w:br/>
              <w:t xml:space="preserve">        # 用所有 cash 买入股票</w:t>
              <w:br/>
              <w:t xml:space="preserve">        order_value(security, cash)</w:t>
              <w:br/>
              <w:t xml:space="preserve">        # 记录这次买入</w:t>
              <w:br/>
              <w:t xml:space="preserve">        log.info("Buying %s" % (security))</w:t>
              <w:br/>
              <w:t xml:space="preserve">    # 如果上一时间点价格低于五天平均价, 则空仓卖出elif current_price &lt; 0.95*MA5 and context.portfolio.positions[security].closeable_amount &gt; 0:</w:t>
              <w:br/>
              <w:t xml:space="preserve">        # 卖出所有股票,使这只股票的最终持有量为0</w:t>
              <w:br/>
              <w:t xml:space="preserve">        order_target(security, 0)</w:t>
              <w:br/>
              <w:t xml:space="preserve">        # 记录这次卖出</w:t>
              <w:br/>
              <w:t xml:space="preserve">        log.info("Selling %s" % (security))</w:t>
              <w:br/>
              <w:t xml:space="preserve">    # 画出上一时间点价格</w:t>
              <w:br/>
            </w:r>
            <w:r>
              <w:rPr>
                <w:rFonts w:eastAsia="Consolas" w:ascii="Consolas" w:cs="Consolas" w:hAnsi="Consolas"/>
                <w:sz w:val="22"/>
              </w:rPr>
              <w:t xml:space="preserve">    record(stock_price=current_price)</w:t>
            </w:r>
          </w:p>
        </w:tc>
      </w:tr>
    </w:tbl>
    <w:p>
      <w:pPr>
        <w:pStyle w:val="3"/>
        <w:spacing w:before="300" w:after="120" w:line="288" w:lineRule="auto"/>
        <w:ind w:left="0"/>
        <w:jc w:val="left"/>
        <w:outlineLvl w:val="2"/>
      </w:pPr>
      <w:bookmarkStart w:name="heading_71" w:id="71"/>
      <w:r>
        <w:rPr>
          <w:rFonts w:eastAsia="等线" w:ascii="Arial" w:cs="Arial" w:hAnsi="Arial"/>
          <w:b w:val="true"/>
          <w:sz w:val="30"/>
        </w:rPr>
        <w:t>多股票持仓示例</w:t>
      </w:r>
      <w:bookmarkEnd w:id="71"/>
    </w:p>
    <w:p>
      <w:pPr>
        <w:spacing w:before="120" w:after="120" w:line="288" w:lineRule="auto"/>
        <w:ind w:left="0"/>
        <w:jc w:val="left"/>
      </w:pPr>
      <w:r>
        <w:rPr>
          <w:rFonts w:eastAsia="等线" w:ascii="Arial" w:cs="Arial" w:hAnsi="Arial"/>
          <w:sz w:val="22"/>
        </w:rPr>
        <w:t>这是一个较简单的多股票操作示例，当价格高于三天平均价</w:t>
      </w:r>
      <w:r>
        <w:rPr>
          <w:rFonts w:eastAsia="等线" w:ascii="Arial" w:cs="Arial" w:hAnsi="Arial"/>
          <w:i w:val="true"/>
          <w:sz w:val="22"/>
        </w:rPr>
        <w:t>1.005则买入100股，当价格小于三天平均价</w:t>
      </w:r>
      <w:r>
        <w:rPr>
          <w:rFonts w:eastAsia="等线" w:ascii="Arial" w:cs="Arial" w:hAnsi="Arial"/>
          <w:sz w:val="22"/>
        </w:rPr>
        <w:t>0.995则卖出。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导入聚宽函数库import jqdata</w:t>
              <w:br/>
              <w:br/>
              <w:t>def initialize(context):# 初始化此策略# 设置我们要操作的股票池</w:t>
              <w:br/>
              <w:t xml:space="preserve">    g.stocks = ['000001.XSHE','000002.XSHE','000004.XSHE','000005.XSHE']</w:t>
              <w:br/>
              <w:t xml:space="preserve">    # 设定沪深300作为基准</w:t>
              <w:br/>
              <w:t xml:space="preserve">    set_benchmark('000300.XSHG')</w:t>
              <w:br/>
              <w:t xml:space="preserve">    # 开启动态复权模式(真实价格)</w:t>
              <w:br/>
              <w:t xml:space="preserve">    set_option('use_real_price', True)</w:t>
              <w:br/>
              <w:br/>
              <w:t># 每个单位时间(如果按天回测,则每天调用一次,如果按分钟,则每分钟调用一次)调用一次def handle_data(context, data):# 循环每只股票for security in g.stocks:</w:t>
              <w:br/>
              <w:t xml:space="preserve">        # 得到股票之前3天的平均价</w:t>
              <w:br/>
              <w:t xml:space="preserve">        vwap = data[security].vwap(3)</w:t>
              <w:br/>
              <w:t xml:space="preserve">        # 得到上一时间点股票收盘价</w:t>
              <w:br/>
              <w:t xml:space="preserve">        price = data[security].close</w:t>
              <w:br/>
              <w:t xml:space="preserve">        # 得到当前资金余额</w:t>
              <w:br/>
              <w:t xml:space="preserve">        cash = context.portfolio.available_cash</w:t>
              <w:br/>
              <w:br/>
              <w:t xml:space="preserve">        # 如果上一时间点价格小于三天平均价*0.995，并且持有该股票，卖出if price &lt; vwap * 0.995 and context.portfolio.positions[security].closeable_amount &gt; 0:</w:t>
              <w:br/>
              <w:t xml:space="preserve">            # 下入卖出单</w:t>
              <w:br/>
              <w:t xml:space="preserve">            order(security,-100)</w:t>
              <w:br/>
              <w:t xml:space="preserve">            # 记录这次卖出</w:t>
              <w:br/>
              <w:t xml:space="preserve">            log.info("Selling %s" % (security))</w:t>
              <w:br/>
              <w:t xml:space="preserve">        # 如果上一时间点价格大于三天平均价*1.005，并且有现金余额，买入elif price &gt; vwap * 1.005 and cash &gt; 0:</w:t>
              <w:br/>
              <w:t xml:space="preserve">            # 下入买入单</w:t>
              <w:br/>
              <w:t xml:space="preserve">            order(security,100)</w:t>
              <w:br/>
              <w:t xml:space="preserve">            # 记录这次买入</w:t>
              <w:br/>
            </w:r>
            <w:r>
              <w:rPr>
                <w:rFonts w:eastAsia="Consolas" w:ascii="Consolas" w:cs="Consolas" w:hAnsi="Consolas"/>
                <w:sz w:val="22"/>
              </w:rPr>
              <w:t xml:space="preserve">            log.info("Buying %s" % (security))</w:t>
            </w:r>
          </w:p>
        </w:tc>
      </w:tr>
    </w:tbl>
    <w:p>
      <w:pPr>
        <w:pStyle w:val="3"/>
        <w:spacing w:before="300" w:after="120" w:line="288" w:lineRule="auto"/>
        <w:ind w:left="0"/>
        <w:jc w:val="left"/>
        <w:outlineLvl w:val="2"/>
      </w:pPr>
      <w:bookmarkStart w:name="heading_72" w:id="72"/>
      <w:r>
        <w:rPr>
          <w:rFonts w:eastAsia="等线" w:ascii="Arial" w:cs="Arial" w:hAnsi="Arial"/>
          <w:b w:val="true"/>
          <w:sz w:val="30"/>
        </w:rPr>
        <w:t>多股票追涨策略</w:t>
      </w:r>
      <w:bookmarkEnd w:id="72"/>
    </w:p>
    <w:p>
      <w:pPr>
        <w:spacing w:before="120" w:after="120" w:line="288" w:lineRule="auto"/>
        <w:ind w:left="0"/>
        <w:jc w:val="left"/>
      </w:pPr>
      <w:r>
        <w:rPr>
          <w:rFonts w:eastAsia="等线" w:ascii="Arial" w:cs="Arial" w:hAnsi="Arial"/>
          <w:sz w:val="22"/>
        </w:rPr>
        <w:t>当股票在当日收盘30分钟内涨幅到达9.5%~9.9%时间段的时候，我们进行买入，在第二天开盘卖出。注意：</w:t>
      </w:r>
      <w:r>
        <w:rPr>
          <w:rFonts w:eastAsia="等线" w:ascii="Arial" w:cs="Arial" w:hAnsi="Arial"/>
          <w:b w:val="true"/>
          <w:sz w:val="22"/>
        </w:rPr>
        <w:t>请按照分钟进行回测该策略</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导入聚宽函数库import jqdata</w:t>
              <w:br/>
              <w:br/>
              <w:t># 初始化程序, 整个回测只运行一次def initialize(context):# 开启动态复权模式(真实价格)</w:t>
              <w:br/>
              <w:t xml:space="preserve">    set_option('use_real_price', True)</w:t>
              <w:br/>
              <w:br/>
              <w:t xml:space="preserve">    # 每天买入股票数量</w:t>
              <w:br/>
              <w:t xml:space="preserve">    g.daily_buy_count  = 5# 设置我们要操作的股票池, 这里我们操作多只股票，下列股票选自计算机信息技术相关板块</w:t>
              <w:br/>
              <w:t xml:space="preserve">    g.stocks = get_industry_stocks('I64') + get_industry_stocks('I65')</w:t>
              <w:br/>
              <w:br/>
              <w:t xml:space="preserve">    # 防止板块之间重复包含某只股票, 排除掉重复的, g.stocks 现在是一个集合(set)</w:t>
              <w:br/>
              <w:t xml:space="preserve">    g.stocks = set(g.stocks)</w:t>
              <w:br/>
              <w:br/>
              <w:t xml:space="preserve">    # 让每天早上开盘时执行 morning_sell_all</w:t>
              <w:br/>
              <w:t xml:space="preserve">    run_daily(morning_sell_all, '09:30')</w:t>
              <w:br/>
              <w:br/>
              <w:t>def morning_sell_all(context):# 将目前所有的股票卖出for security in context.portfolio.positions:</w:t>
              <w:br/>
              <w:t xml:space="preserve">        # 全部卖出</w:t>
              <w:br/>
              <w:t xml:space="preserve">        order_target(security, 0)</w:t>
              <w:br/>
              <w:t xml:space="preserve">        # 记录这次卖出</w:t>
              <w:br/>
              <w:t xml:space="preserve">        log.info("Selling %s" % (security))</w:t>
              <w:br/>
              <w:br/>
              <w:t>def before_trading_start(context):# 今天已经买入的股票</w:t>
              <w:br/>
              <w:t xml:space="preserve">    g.today_bought_stocks = set()</w:t>
              <w:br/>
              <w:br/>
              <w:t xml:space="preserve">    # 得到所有股票昨日收盘价, 每天只需要取一次, 所以放在 before_trading_start 中</w:t>
              <w:br/>
              <w:t xml:space="preserve">    g.last_df = history(1,'1d','close',g.stocks)</w:t>
              <w:br/>
              <w:br/>
              <w:t># 在每分钟的第一秒运行, data 是上一分钟的切片数据def handle_data(context, data):# 判断是否在当日最后的2小时，我们只追涨最后2小时满足追涨条件的股票if context.current_dt.hour &lt; 13:</w:t>
              <w:br/>
              <w:t xml:space="preserve">        return# 每天只买这么多个if len(g.today_bought_stocks) &gt;= g.daily_buy_count:</w:t>
              <w:br/>
              <w:t xml:space="preserve">        return# 只遍历今天还没有买入的股票for security in (g.stocks - g.today_bought_stocks):</w:t>
              <w:br/>
              <w:br/>
              <w:t xml:space="preserve">        # 得到当前价格</w:t>
              <w:br/>
              <w:t xml:space="preserve">        price = data[security].close</w:t>
              <w:br/>
              <w:br/>
              <w:t xml:space="preserve">        # 获取这只股票昨天收盘价</w:t>
              <w:br/>
              <w:t xml:space="preserve">        last_close = g.last_df[security][0]</w:t>
              <w:br/>
              <w:br/>
              <w:t xml:space="preserve">        # 如果上一时间点价格已经涨了9.5%~9.9%# 今天的涨停价格区间大于1元，今天没有买入该支股票if price/last_close &gt; 1.095 \</w:t>
              <w:br/>
              <w:t xml:space="preserve">                and price/last_close &lt; 1.099 \</w:t>
              <w:br/>
              <w:t xml:space="preserve">                and data[security].high_limit - last_close &gt;= 1.0:</w:t>
              <w:br/>
              <w:br/>
              <w:t xml:space="preserve">            # 得到当前资金余额</w:t>
              <w:br/>
              <w:t xml:space="preserve">            cash = context.portfolio.available_cash</w:t>
              <w:br/>
              <w:br/>
              <w:t xml:space="preserve">            # 计算今天还需要买入的股票数量</w:t>
              <w:br/>
              <w:t xml:space="preserve">            need_count = g.daily_buy_count - len(g.today_bought_stocks)</w:t>
              <w:br/>
              <w:br/>
              <w:t xml:space="preserve">            # 把现金分成几份,</w:t>
              <w:br/>
              <w:t xml:space="preserve">            buy_cash = context.portfolio.available_cash / need_count</w:t>
              <w:br/>
              <w:br/>
              <w:t xml:space="preserve">            # 买入这么多现金的股票</w:t>
              <w:br/>
              <w:t xml:space="preserve">            order_value(security, buy_cash)</w:t>
              <w:br/>
              <w:br/>
              <w:t xml:space="preserve">            # 放入今日已买股票的集合</w:t>
              <w:br/>
              <w:t xml:space="preserve">            g.today_bought_stocks.add(security)</w:t>
              <w:br/>
              <w:br/>
              <w:t xml:space="preserve">            # 记录这次买入</w:t>
              <w:br/>
              <w:t xml:space="preserve">            log.info("Buying %s" % (security))</w:t>
              <w:br/>
              <w:br/>
              <w:t xml:space="preserve">            # 买够5个之后就不买了if len(g.today_bought_stocks) &gt;= g.daily_buy_count:</w:t>
              <w:br/>
            </w:r>
            <w:r>
              <w:rPr>
                <w:rFonts w:eastAsia="Consolas" w:ascii="Consolas" w:cs="Consolas" w:hAnsi="Consolas"/>
                <w:sz w:val="22"/>
              </w:rPr>
              <w:t xml:space="preserve">                break</w:t>
            </w:r>
          </w:p>
        </w:tc>
      </w:tr>
    </w:tbl>
    <w:p>
      <w:pPr>
        <w:pStyle w:val="3"/>
        <w:spacing w:before="300" w:after="120" w:line="288" w:lineRule="auto"/>
        <w:ind w:left="0"/>
        <w:jc w:val="left"/>
        <w:outlineLvl w:val="2"/>
      </w:pPr>
      <w:bookmarkStart w:name="heading_73" w:id="73"/>
      <w:r>
        <w:rPr>
          <w:rFonts w:eastAsia="等线" w:ascii="Arial" w:cs="Arial" w:hAnsi="Arial"/>
          <w:b w:val="true"/>
          <w:sz w:val="30"/>
        </w:rPr>
        <w:t>万圣节效应策略</w:t>
      </w:r>
      <w:bookmarkEnd w:id="73"/>
    </w:p>
    <w:p>
      <w:pPr>
        <w:spacing w:before="120" w:after="120" w:line="288" w:lineRule="auto"/>
        <w:ind w:left="0"/>
        <w:jc w:val="left"/>
      </w:pPr>
      <w:r>
        <w:rPr>
          <w:rFonts w:eastAsia="等线" w:ascii="Arial" w:cs="Arial" w:hAnsi="Arial"/>
          <w:sz w:val="22"/>
        </w:rPr>
        <w:t>股市投资中的“万圣节效应”是指在北半球的冬季(11月至4月份)，股市回报通常明显高於夏季(5月至10月份)。这里我们选取了中国蓝筹股，采用10月15日后买入，5月15日后卖出的简单策略进行示例。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导入聚宽函数库import jqdata</w:t>
              <w:br/>
              <w:br/>
              <w:t># 初始化此策略def initialize(context):# 开启动态复权模式(真实价格)</w:t>
              <w:br/>
              <w:t xml:space="preserve">    set_option('use_real_price', True)</w:t>
              <w:br/>
              <w:br/>
              <w:t xml:space="preserve">    # 设置我们要操作的股票池，这里我们选择蓝筹股</w:t>
              <w:br/>
              <w:t xml:space="preserve">    g.stocks = ['000001.XSHE','600000.XSHG','600019.XSHG','600028.XSHG','600030.XSHG','600036.XSHG','600519.XSHG','601398.XSHG','601857.XSHG','601988.XSHG']</w:t>
              <w:br/>
              <w:br/>
              <w:t># 每个单位时间(如果按天回测,则每天调用一次,如果按分钟,则每分钟调用一次)调用一次def handle_data(context, data):# 得到每只股票可以花费的现金，这里我们使用总现金股票数数量</w:t>
              <w:br/>
              <w:t xml:space="preserve">    cash = context.portfolio.available_cash / len(g.stocks)</w:t>
              <w:br/>
              <w:t xml:space="preserve">    # 获取数据</w:t>
              <w:br/>
              <w:t xml:space="preserve">    hist = history(1,'1d','close',g.stocks)</w:t>
              <w:br/>
              <w:t xml:space="preserve">    # 循环股票池for security in g.stocks:</w:t>
              <w:br/>
              <w:t xml:space="preserve">        # 得到当前时间</w:t>
              <w:br/>
              <w:t xml:space="preserve">        today = context.current_dt</w:t>
              <w:br/>
              <w:t xml:space="preserve">        # 得到该股票上一时间点价格</w:t>
              <w:br/>
              <w:t xml:space="preserve">        current_price = hist[security][0]</w:t>
              <w:br/>
              <w:t xml:space="preserve">        # 如果当前为10月且日期大于15号，并且现金大于上一时间点价格，并且当前该股票空仓if today.month == 10 and today.day &gt; 15 and cash &gt; current_price and context.portfolio.positions[security].closeable_amount == 0:</w:t>
              <w:br/>
              <w:t xml:space="preserve">            order_value(security, cash)</w:t>
              <w:br/>
              <w:t xml:space="preserve">            # 记录这次买入</w:t>
              <w:br/>
              <w:t xml:space="preserve">            log.info("Buying %s" % (security))</w:t>
              <w:br/>
              <w:t xml:space="preserve">        # 如果当前为5月且日期大于15号，并且当前有该股票持仓，则卖出elif today.month == 5 and today.day &gt; 15 and context.portfolio.positions[security].closeable_amount &gt; 0:</w:t>
              <w:br/>
              <w:t xml:space="preserve">            # 全部卖出</w:t>
              <w:br/>
              <w:t xml:space="preserve">            order_target(security, 0)</w:t>
              <w:br/>
              <w:t xml:space="preserve">            # 记录这次卖出</w:t>
              <w:br/>
            </w:r>
            <w:r>
              <w:rPr>
                <w:rFonts w:eastAsia="Consolas" w:ascii="Consolas" w:cs="Consolas" w:hAnsi="Consolas"/>
                <w:sz w:val="22"/>
              </w:rPr>
              <w:t xml:space="preserve">            log.info("Selling %s" % (security))</w:t>
            </w:r>
          </w:p>
        </w:tc>
      </w:tr>
    </w:tbl>
    <w:p>
      <w:pPr>
        <w:spacing w:before="120" w:after="120" w:line="288" w:lineRule="auto"/>
        <w:ind w:left="0"/>
        <w:jc w:val="left"/>
      </w:pPr>
    </w:p>
    <w:sectPr>
      <w:footerReference w:type="default" r:id="rId3"/>
      <w:headerReference w:type="default" r:id="rId11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03425">
    <w:lvl>
      <w:numFmt w:val="bullet"/>
      <w:suff w:val="tab"/>
      <w:lvlText w:val="•"/>
      <w:rPr>
        <w:color w:val="3370ff"/>
      </w:rPr>
    </w:lvl>
  </w:abstractNum>
  <w:abstractNum w:abstractNumId="203426">
    <w:lvl>
      <w:numFmt w:val="bullet"/>
      <w:suff w:val="tab"/>
      <w:lvlText w:val="•"/>
      <w:rPr>
        <w:color w:val="3370ff"/>
      </w:rPr>
    </w:lvl>
  </w:abstractNum>
  <w:abstractNum w:abstractNumId="203427">
    <w:lvl>
      <w:numFmt w:val="bullet"/>
      <w:suff w:val="tab"/>
      <w:lvlText w:val="•"/>
      <w:rPr>
        <w:color w:val="3370ff"/>
      </w:rPr>
    </w:lvl>
  </w:abstractNum>
  <w:abstractNum w:abstractNumId="203428">
    <w:lvl>
      <w:numFmt w:val="bullet"/>
      <w:suff w:val="tab"/>
      <w:lvlText w:val="•"/>
      <w:rPr>
        <w:color w:val="3370ff"/>
      </w:rPr>
    </w:lvl>
  </w:abstractNum>
  <w:abstractNum w:abstractNumId="203429">
    <w:lvl>
      <w:start w:val="1"/>
      <w:numFmt w:val="decimal"/>
      <w:suff w:val="tab"/>
      <w:lvlText w:val="%1."/>
      <w:rPr>
        <w:color w:val="3370ff"/>
      </w:rPr>
    </w:lvl>
  </w:abstractNum>
  <w:abstractNum w:abstractNumId="203430">
    <w:lvl>
      <w:start w:val="2"/>
      <w:numFmt w:val="decimal"/>
      <w:suff w:val="tab"/>
      <w:lvlText w:val="%1."/>
      <w:rPr>
        <w:color w:val="3370ff"/>
      </w:rPr>
    </w:lvl>
  </w:abstractNum>
  <w:abstractNum w:abstractNumId="203431">
    <w:lvl>
      <w:start w:val="3"/>
      <w:numFmt w:val="decimal"/>
      <w:suff w:val="tab"/>
      <w:lvlText w:val="%1."/>
      <w:rPr>
        <w:color w:val="3370ff"/>
      </w:rPr>
    </w:lvl>
  </w:abstractNum>
  <w:abstractNum w:abstractNumId="203432">
    <w:lvl>
      <w:start w:val="4"/>
      <w:numFmt w:val="decimal"/>
      <w:suff w:val="tab"/>
      <w:lvlText w:val="%1."/>
      <w:rPr>
        <w:color w:val="3370ff"/>
      </w:rPr>
    </w:lvl>
  </w:abstractNum>
  <w:abstractNum w:abstractNumId="203433">
    <w:lvl>
      <w:start w:val="5"/>
      <w:numFmt w:val="decimal"/>
      <w:suff w:val="tab"/>
      <w:lvlText w:val="%1."/>
      <w:rPr>
        <w:color w:val="3370ff"/>
      </w:rPr>
    </w:lvl>
  </w:abstractNum>
  <w:abstractNum w:abstractNumId="203434">
    <w:lvl>
      <w:numFmt w:val="bullet"/>
      <w:suff w:val="tab"/>
      <w:lvlText w:val="•"/>
      <w:rPr>
        <w:color w:val="3370ff"/>
      </w:rPr>
    </w:lvl>
  </w:abstractNum>
  <w:abstractNum w:abstractNumId="203435">
    <w:lvl>
      <w:numFmt w:val="bullet"/>
      <w:suff w:val="tab"/>
      <w:lvlText w:val="•"/>
      <w:rPr>
        <w:color w:val="3370ff"/>
      </w:rPr>
    </w:lvl>
  </w:abstractNum>
  <w:abstractNum w:abstractNumId="203436">
    <w:lvl>
      <w:numFmt w:val="bullet"/>
      <w:suff w:val="tab"/>
      <w:lvlText w:val="•"/>
      <w:rPr>
        <w:color w:val="3370ff"/>
      </w:rPr>
    </w:lvl>
  </w:abstractNum>
  <w:abstractNum w:abstractNumId="203437">
    <w:lvl>
      <w:numFmt w:val="bullet"/>
      <w:suff w:val="tab"/>
      <w:lvlText w:val="•"/>
      <w:rPr>
        <w:color w:val="3370ff"/>
      </w:rPr>
    </w:lvl>
  </w:abstractNum>
  <w:abstractNum w:abstractNumId="203438">
    <w:lvl>
      <w:numFmt w:val="bullet"/>
      <w:suff w:val="tab"/>
      <w:lvlText w:val="•"/>
      <w:rPr>
        <w:color w:val="3370ff"/>
      </w:rPr>
    </w:lvl>
  </w:abstractNum>
  <w:abstractNum w:abstractNumId="203439">
    <w:lvl>
      <w:numFmt w:val="bullet"/>
      <w:suff w:val="tab"/>
      <w:lvlText w:val="•"/>
      <w:rPr>
        <w:color w:val="3370ff"/>
      </w:rPr>
    </w:lvl>
  </w:abstractNum>
  <w:abstractNum w:abstractNumId="203440">
    <w:lvl>
      <w:start w:val="1"/>
      <w:numFmt w:val="decimal"/>
      <w:suff w:val="tab"/>
      <w:lvlText w:val="%1."/>
      <w:rPr>
        <w:color w:val="3370ff"/>
      </w:rPr>
    </w:lvl>
  </w:abstractNum>
  <w:abstractNum w:abstractNumId="203441">
    <w:lvl>
      <w:start w:val="2"/>
      <w:numFmt w:val="decimal"/>
      <w:suff w:val="tab"/>
      <w:lvlText w:val="%1."/>
      <w:rPr>
        <w:color w:val="3370ff"/>
      </w:rPr>
    </w:lvl>
  </w:abstractNum>
  <w:abstractNum w:abstractNumId="203442">
    <w:lvl>
      <w:start w:val="3"/>
      <w:numFmt w:val="decimal"/>
      <w:suff w:val="tab"/>
      <w:lvlText w:val="%1."/>
      <w:rPr>
        <w:color w:val="3370ff"/>
      </w:rPr>
    </w:lvl>
  </w:abstractNum>
  <w:abstractNum w:abstractNumId="203443">
    <w:lvl>
      <w:start w:val="4"/>
      <w:numFmt w:val="decimal"/>
      <w:suff w:val="tab"/>
      <w:lvlText w:val="%1."/>
      <w:rPr>
        <w:color w:val="3370ff"/>
      </w:rPr>
    </w:lvl>
  </w:abstractNum>
  <w:abstractNum w:abstractNumId="203444">
    <w:lvl>
      <w:start w:val="5"/>
      <w:numFmt w:val="decimal"/>
      <w:suff w:val="tab"/>
      <w:lvlText w:val="%1."/>
      <w:rPr>
        <w:color w:val="3370ff"/>
      </w:rPr>
    </w:lvl>
  </w:abstractNum>
  <w:abstractNum w:abstractNumId="203445">
    <w:lvl>
      <w:start w:val="6"/>
      <w:numFmt w:val="decimal"/>
      <w:suff w:val="tab"/>
      <w:lvlText w:val="%1."/>
      <w:rPr>
        <w:color w:val="3370ff"/>
      </w:rPr>
    </w:lvl>
  </w:abstractNum>
  <w:abstractNum w:abstractNumId="203446">
    <w:lvl>
      <w:start w:val="7"/>
      <w:numFmt w:val="decimal"/>
      <w:suff w:val="tab"/>
      <w:lvlText w:val="%1."/>
      <w:rPr>
        <w:color w:val="3370ff"/>
      </w:rPr>
    </w:lvl>
  </w:abstractNum>
  <w:abstractNum w:abstractNumId="203447">
    <w:lvl>
      <w:start w:val="8"/>
      <w:numFmt w:val="decimal"/>
      <w:suff w:val="tab"/>
      <w:lvlText w:val="%1."/>
      <w:rPr>
        <w:color w:val="3370ff"/>
      </w:rPr>
    </w:lvl>
  </w:abstractNum>
  <w:abstractNum w:abstractNumId="203448">
    <w:lvl>
      <w:start w:val="9"/>
      <w:numFmt w:val="decimal"/>
      <w:suff w:val="tab"/>
      <w:lvlText w:val="%1."/>
      <w:rPr>
        <w:color w:val="3370ff"/>
      </w:rPr>
    </w:lvl>
  </w:abstractNum>
  <w:abstractNum w:abstractNumId="203449">
    <w:lvl>
      <w:start w:val="10"/>
      <w:numFmt w:val="decimal"/>
      <w:suff w:val="tab"/>
      <w:lvlText w:val="%1."/>
      <w:rPr>
        <w:color w:val="3370ff"/>
      </w:rPr>
    </w:lvl>
  </w:abstractNum>
  <w:abstractNum w:abstractNumId="203450">
    <w:lvl>
      <w:start w:val="11"/>
      <w:numFmt w:val="decimal"/>
      <w:suff w:val="tab"/>
      <w:lvlText w:val="%1."/>
      <w:rPr>
        <w:color w:val="3370ff"/>
      </w:rPr>
    </w:lvl>
  </w:abstractNum>
  <w:abstractNum w:abstractNumId="203451">
    <w:lvl>
      <w:start w:val="12"/>
      <w:numFmt w:val="decimal"/>
      <w:suff w:val="tab"/>
      <w:lvlText w:val="%1."/>
      <w:rPr>
        <w:color w:val="3370ff"/>
      </w:rPr>
    </w:lvl>
  </w:abstractNum>
  <w:abstractNum w:abstractNumId="203452">
    <w:lvl>
      <w:numFmt w:val="bullet"/>
      <w:suff w:val="tab"/>
      <w:lvlText w:val="•"/>
      <w:rPr>
        <w:color w:val="3370ff"/>
      </w:rPr>
    </w:lvl>
  </w:abstractNum>
  <w:abstractNum w:abstractNumId="203453">
    <w:lvl>
      <w:numFmt w:val="bullet"/>
      <w:suff w:val="tab"/>
      <w:lvlText w:val="￮"/>
      <w:rPr>
        <w:color w:val="3370ff"/>
      </w:rPr>
    </w:lvl>
  </w:abstractNum>
  <w:abstractNum w:abstractNumId="203454">
    <w:lvl>
      <w:numFmt w:val="bullet"/>
      <w:suff w:val="tab"/>
      <w:lvlText w:val="￮"/>
      <w:rPr>
        <w:color w:val="3370ff"/>
      </w:rPr>
    </w:lvl>
  </w:abstractNum>
  <w:abstractNum w:abstractNumId="203455">
    <w:lvl>
      <w:numFmt w:val="bullet"/>
      <w:suff w:val="tab"/>
      <w:lvlText w:val="•"/>
      <w:rPr>
        <w:color w:val="3370ff"/>
      </w:rPr>
    </w:lvl>
  </w:abstractNum>
  <w:abstractNum w:abstractNumId="203456">
    <w:lvl>
      <w:numFmt w:val="bullet"/>
      <w:suff w:val="tab"/>
      <w:lvlText w:val="￮"/>
      <w:rPr>
        <w:color w:val="3370ff"/>
      </w:rPr>
    </w:lvl>
  </w:abstractNum>
  <w:abstractNum w:abstractNumId="203457">
    <w:lvl>
      <w:numFmt w:val="bullet"/>
      <w:suff w:val="tab"/>
      <w:lvlText w:val="￮"/>
      <w:rPr>
        <w:color w:val="3370ff"/>
      </w:rPr>
    </w:lvl>
  </w:abstractNum>
  <w:abstractNum w:abstractNumId="203458">
    <w:lvl>
      <w:numFmt w:val="bullet"/>
      <w:suff w:val="tab"/>
      <w:lvlText w:val="▪"/>
      <w:rPr>
        <w:color w:val="3370ff"/>
        <w:sz w:val="11"/>
      </w:rPr>
    </w:lvl>
  </w:abstractNum>
  <w:abstractNum w:abstractNumId="203459">
    <w:lvl>
      <w:numFmt w:val="bullet"/>
      <w:suff w:val="tab"/>
      <w:lvlText w:val="▪"/>
      <w:rPr>
        <w:color w:val="3370ff"/>
        <w:sz w:val="11"/>
      </w:rPr>
    </w:lvl>
  </w:abstractNum>
  <w:abstractNum w:abstractNumId="203460">
    <w:lvl>
      <w:numFmt w:val="bullet"/>
      <w:suff w:val="tab"/>
      <w:lvlText w:val="•"/>
      <w:rPr>
        <w:color w:val="3370ff"/>
      </w:rPr>
    </w:lvl>
  </w:abstractNum>
  <w:abstractNum w:abstractNumId="203461">
    <w:lvl>
      <w:numFmt w:val="bullet"/>
      <w:suff w:val="tab"/>
      <w:lvlText w:val="￮"/>
      <w:rPr>
        <w:color w:val="3370ff"/>
      </w:rPr>
    </w:lvl>
  </w:abstractNum>
  <w:abstractNum w:abstractNumId="203462">
    <w:lvl>
      <w:numFmt w:val="bullet"/>
      <w:suff w:val="tab"/>
      <w:lvlText w:val="￮"/>
      <w:rPr>
        <w:color w:val="3370ff"/>
      </w:rPr>
    </w:lvl>
  </w:abstractNum>
  <w:abstractNum w:abstractNumId="203463">
    <w:lvl>
      <w:numFmt w:val="bullet"/>
      <w:suff w:val="tab"/>
      <w:lvlText w:val="•"/>
      <w:rPr>
        <w:color w:val="3370ff"/>
      </w:rPr>
    </w:lvl>
  </w:abstractNum>
  <w:abstractNum w:abstractNumId="203464">
    <w:lvl>
      <w:numFmt w:val="bullet"/>
      <w:suff w:val="tab"/>
      <w:lvlText w:val="•"/>
      <w:rPr>
        <w:color w:val="3370ff"/>
      </w:rPr>
    </w:lvl>
  </w:abstractNum>
  <w:abstractNum w:abstractNumId="203465">
    <w:lvl>
      <w:numFmt w:val="bullet"/>
      <w:suff w:val="tab"/>
      <w:lvlText w:val="￮"/>
      <w:rPr>
        <w:color w:val="3370ff"/>
      </w:rPr>
    </w:lvl>
  </w:abstractNum>
  <w:abstractNum w:abstractNumId="203466">
    <w:lvl>
      <w:numFmt w:val="bullet"/>
      <w:suff w:val="tab"/>
      <w:lvlText w:val="￮"/>
      <w:rPr>
        <w:color w:val="3370ff"/>
      </w:rPr>
    </w:lvl>
  </w:abstractNum>
  <w:abstractNum w:abstractNumId="203467">
    <w:lvl>
      <w:numFmt w:val="bullet"/>
      <w:suff w:val="tab"/>
      <w:lvlText w:val="￮"/>
      <w:rPr>
        <w:color w:val="3370ff"/>
      </w:rPr>
    </w:lvl>
  </w:abstractNum>
  <w:abstractNum w:abstractNumId="203468">
    <w:lvl>
      <w:numFmt w:val="bullet"/>
      <w:suff w:val="tab"/>
      <w:lvlText w:val="￮"/>
      <w:rPr>
        <w:color w:val="3370ff"/>
      </w:rPr>
    </w:lvl>
  </w:abstractNum>
  <w:abstractNum w:abstractNumId="203469">
    <w:lvl>
      <w:numFmt w:val="bullet"/>
      <w:suff w:val="tab"/>
      <w:lvlText w:val="￮"/>
      <w:rPr>
        <w:color w:val="3370ff"/>
      </w:rPr>
    </w:lvl>
  </w:abstractNum>
  <w:abstractNum w:abstractNumId="203470">
    <w:lvl>
      <w:numFmt w:val="bullet"/>
      <w:suff w:val="tab"/>
      <w:lvlText w:val="￮"/>
      <w:rPr>
        <w:color w:val="3370ff"/>
      </w:rPr>
    </w:lvl>
  </w:abstractNum>
  <w:abstractNum w:abstractNumId="203471">
    <w:lvl>
      <w:numFmt w:val="bullet"/>
      <w:suff w:val="tab"/>
      <w:lvlText w:val="•"/>
      <w:rPr>
        <w:color w:val="3370ff"/>
      </w:rPr>
    </w:lvl>
  </w:abstractNum>
  <w:abstractNum w:abstractNumId="203472">
    <w:lvl>
      <w:numFmt w:val="bullet"/>
      <w:suff w:val="tab"/>
      <w:lvlText w:val="•"/>
      <w:rPr>
        <w:color w:val="3370ff"/>
      </w:rPr>
    </w:lvl>
  </w:abstractNum>
  <w:abstractNum w:abstractNumId="203473">
    <w:lvl>
      <w:numFmt w:val="bullet"/>
      <w:suff w:val="tab"/>
      <w:lvlText w:val="•"/>
      <w:rPr>
        <w:color w:val="3370ff"/>
      </w:rPr>
    </w:lvl>
  </w:abstractNum>
  <w:abstractNum w:abstractNumId="203474">
    <w:lvl>
      <w:numFmt w:val="bullet"/>
      <w:suff w:val="tab"/>
      <w:lvlText w:val="•"/>
      <w:rPr>
        <w:color w:val="3370ff"/>
      </w:rPr>
    </w:lvl>
  </w:abstractNum>
  <w:abstractNum w:abstractNumId="203475">
    <w:lvl>
      <w:numFmt w:val="bullet"/>
      <w:suff w:val="tab"/>
      <w:lvlText w:val="•"/>
      <w:rPr>
        <w:color w:val="3370ff"/>
      </w:rPr>
    </w:lvl>
  </w:abstractNum>
  <w:abstractNum w:abstractNumId="203476">
    <w:lvl>
      <w:numFmt w:val="bullet"/>
      <w:suff w:val="tab"/>
      <w:lvlText w:val="•"/>
      <w:rPr>
        <w:color w:val="3370ff"/>
      </w:rPr>
    </w:lvl>
  </w:abstractNum>
  <w:abstractNum w:abstractNumId="203477">
    <w:lvl>
      <w:numFmt w:val="bullet"/>
      <w:suff w:val="tab"/>
      <w:lvlText w:val="•"/>
      <w:rPr>
        <w:color w:val="3370ff"/>
      </w:rPr>
    </w:lvl>
  </w:abstractNum>
  <w:abstractNum w:abstractNumId="203478">
    <w:lvl>
      <w:numFmt w:val="bullet"/>
      <w:suff w:val="tab"/>
      <w:lvlText w:val="￮"/>
      <w:rPr>
        <w:color w:val="3370ff"/>
      </w:rPr>
    </w:lvl>
  </w:abstractNum>
  <w:abstractNum w:abstractNumId="203479">
    <w:lvl>
      <w:numFmt w:val="bullet"/>
      <w:suff w:val="tab"/>
      <w:lvlText w:val="￮"/>
      <w:rPr>
        <w:color w:val="3370ff"/>
      </w:rPr>
    </w:lvl>
  </w:abstractNum>
  <w:abstractNum w:abstractNumId="203480">
    <w:lvl>
      <w:numFmt w:val="bullet"/>
      <w:suff w:val="tab"/>
      <w:lvlText w:val="•"/>
      <w:rPr>
        <w:color w:val="3370ff"/>
      </w:rPr>
    </w:lvl>
  </w:abstractNum>
  <w:abstractNum w:abstractNumId="203481">
    <w:lvl>
      <w:numFmt w:val="bullet"/>
      <w:suff w:val="tab"/>
      <w:lvlText w:val="￮"/>
      <w:rPr>
        <w:color w:val="3370ff"/>
      </w:rPr>
    </w:lvl>
  </w:abstractNum>
  <w:abstractNum w:abstractNumId="203482">
    <w:lvl>
      <w:numFmt w:val="bullet"/>
      <w:suff w:val="tab"/>
      <w:lvlText w:val="￮"/>
      <w:rPr>
        <w:color w:val="3370ff"/>
      </w:rPr>
    </w:lvl>
  </w:abstractNum>
  <w:abstractNum w:abstractNumId="203483">
    <w:lvl>
      <w:numFmt w:val="bullet"/>
      <w:suff w:val="tab"/>
      <w:lvlText w:val="•"/>
      <w:rPr>
        <w:color w:val="3370ff"/>
      </w:rPr>
    </w:lvl>
  </w:abstractNum>
  <w:abstractNum w:abstractNumId="203484">
    <w:lvl>
      <w:numFmt w:val="bullet"/>
      <w:suff w:val="tab"/>
      <w:lvlText w:val="•"/>
      <w:rPr>
        <w:color w:val="3370ff"/>
      </w:rPr>
    </w:lvl>
  </w:abstractNum>
  <w:abstractNum w:abstractNumId="203485">
    <w:lvl>
      <w:numFmt w:val="bullet"/>
      <w:suff w:val="tab"/>
      <w:lvlText w:val="￮"/>
      <w:rPr>
        <w:color w:val="3370ff"/>
      </w:rPr>
    </w:lvl>
  </w:abstractNum>
  <w:abstractNum w:abstractNumId="203486">
    <w:lvl>
      <w:numFmt w:val="bullet"/>
      <w:suff w:val="tab"/>
      <w:lvlText w:val="￮"/>
      <w:rPr>
        <w:color w:val="3370ff"/>
      </w:rPr>
    </w:lvl>
  </w:abstractNum>
  <w:abstractNum w:abstractNumId="203487">
    <w:lvl>
      <w:numFmt w:val="bullet"/>
      <w:suff w:val="tab"/>
      <w:lvlText w:val="•"/>
      <w:rPr>
        <w:color w:val="3370ff"/>
      </w:rPr>
    </w:lvl>
  </w:abstractNum>
  <w:abstractNum w:abstractNumId="203488">
    <w:lvl>
      <w:numFmt w:val="bullet"/>
      <w:suff w:val="tab"/>
      <w:lvlText w:val="￮"/>
      <w:rPr>
        <w:color w:val="3370ff"/>
      </w:rPr>
    </w:lvl>
  </w:abstractNum>
  <w:abstractNum w:abstractNumId="203489">
    <w:lvl>
      <w:numFmt w:val="bullet"/>
      <w:suff w:val="tab"/>
      <w:lvlText w:val="￮"/>
      <w:rPr>
        <w:color w:val="3370ff"/>
      </w:rPr>
    </w:lvl>
  </w:abstractNum>
  <w:abstractNum w:abstractNumId="203490">
    <w:lvl>
      <w:numFmt w:val="bullet"/>
      <w:suff w:val="tab"/>
      <w:lvlText w:val="•"/>
      <w:rPr>
        <w:color w:val="3370ff"/>
      </w:rPr>
    </w:lvl>
  </w:abstractNum>
  <w:abstractNum w:abstractNumId="203491">
    <w:lvl>
      <w:numFmt w:val="bullet"/>
      <w:suff w:val="tab"/>
      <w:lvlText w:val="￮"/>
      <w:rPr>
        <w:color w:val="3370ff"/>
      </w:rPr>
    </w:lvl>
  </w:abstractNum>
  <w:abstractNum w:abstractNumId="203492">
    <w:lvl>
      <w:numFmt w:val="bullet"/>
      <w:suff w:val="tab"/>
      <w:lvlText w:val="•"/>
      <w:rPr>
        <w:color w:val="3370ff"/>
      </w:rPr>
    </w:lvl>
  </w:abstractNum>
  <w:abstractNum w:abstractNumId="203493">
    <w:lvl>
      <w:numFmt w:val="bullet"/>
      <w:suff w:val="tab"/>
      <w:lvlText w:val="•"/>
      <w:rPr>
        <w:color w:val="3370ff"/>
      </w:rPr>
    </w:lvl>
  </w:abstractNum>
  <w:abstractNum w:abstractNumId="203494">
    <w:lvl>
      <w:numFmt w:val="bullet"/>
      <w:suff w:val="tab"/>
      <w:lvlText w:val="•"/>
      <w:rPr>
        <w:color w:val="3370ff"/>
      </w:rPr>
    </w:lvl>
  </w:abstractNum>
  <w:abstractNum w:abstractNumId="203495">
    <w:lvl>
      <w:numFmt w:val="bullet"/>
      <w:suff w:val="tab"/>
      <w:lvlText w:val="•"/>
      <w:rPr>
        <w:color w:val="3370ff"/>
      </w:rPr>
    </w:lvl>
  </w:abstractNum>
  <w:abstractNum w:abstractNumId="203496">
    <w:lvl>
      <w:numFmt w:val="bullet"/>
      <w:suff w:val="tab"/>
      <w:lvlText w:val="•"/>
      <w:rPr>
        <w:color w:val="3370ff"/>
      </w:rPr>
    </w:lvl>
  </w:abstractNum>
  <w:abstractNum w:abstractNumId="203497">
    <w:lvl>
      <w:numFmt w:val="bullet"/>
      <w:suff w:val="tab"/>
      <w:lvlText w:val="•"/>
      <w:rPr>
        <w:color w:val="3370ff"/>
      </w:rPr>
    </w:lvl>
  </w:abstractNum>
  <w:abstractNum w:abstractNumId="203498">
    <w:lvl>
      <w:numFmt w:val="bullet"/>
      <w:suff w:val="tab"/>
      <w:lvlText w:val="￮"/>
      <w:rPr>
        <w:color w:val="3370ff"/>
      </w:rPr>
    </w:lvl>
  </w:abstractNum>
  <w:abstractNum w:abstractNumId="203499">
    <w:lvl>
      <w:numFmt w:val="bullet"/>
      <w:suff w:val="tab"/>
      <w:lvlText w:val="￮"/>
      <w:rPr>
        <w:color w:val="3370ff"/>
      </w:rPr>
    </w:lvl>
  </w:abstractNum>
  <w:abstractNum w:abstractNumId="203500">
    <w:lvl>
      <w:numFmt w:val="bullet"/>
      <w:suff w:val="tab"/>
      <w:lvlText w:val="•"/>
      <w:rPr>
        <w:color w:val="3370ff"/>
      </w:rPr>
    </w:lvl>
  </w:abstractNum>
  <w:abstractNum w:abstractNumId="203501">
    <w:lvl>
      <w:numFmt w:val="bullet"/>
      <w:suff w:val="tab"/>
      <w:lvlText w:val="￮"/>
      <w:rPr>
        <w:color w:val="3370ff"/>
      </w:rPr>
    </w:lvl>
  </w:abstractNum>
  <w:abstractNum w:abstractNumId="203502">
    <w:lvl>
      <w:numFmt w:val="bullet"/>
      <w:suff w:val="tab"/>
      <w:lvlText w:val="￮"/>
      <w:rPr>
        <w:color w:val="3370ff"/>
      </w:rPr>
    </w:lvl>
  </w:abstractNum>
  <w:abstractNum w:abstractNumId="203503">
    <w:lvl>
      <w:numFmt w:val="bullet"/>
      <w:suff w:val="tab"/>
      <w:lvlText w:val="•"/>
      <w:rPr>
        <w:color w:val="3370ff"/>
      </w:rPr>
    </w:lvl>
  </w:abstractNum>
  <w:abstractNum w:abstractNumId="203504">
    <w:lvl>
      <w:numFmt w:val="bullet"/>
      <w:suff w:val="tab"/>
      <w:lvlText w:val="￮"/>
      <w:rPr>
        <w:color w:val="3370ff"/>
      </w:rPr>
    </w:lvl>
  </w:abstractNum>
  <w:abstractNum w:abstractNumId="203505">
    <w:lvl>
      <w:numFmt w:val="bullet"/>
      <w:suff w:val="tab"/>
      <w:lvlText w:val="￮"/>
      <w:rPr>
        <w:color w:val="3370ff"/>
      </w:rPr>
    </w:lvl>
  </w:abstractNum>
  <w:abstractNum w:abstractNumId="203506">
    <w:lvl>
      <w:numFmt w:val="bullet"/>
      <w:suff w:val="tab"/>
      <w:lvlText w:val="•"/>
      <w:rPr>
        <w:color w:val="3370ff"/>
      </w:rPr>
    </w:lvl>
  </w:abstractNum>
  <w:abstractNum w:abstractNumId="203507">
    <w:lvl>
      <w:numFmt w:val="bullet"/>
      <w:suff w:val="tab"/>
      <w:lvlText w:val="￮"/>
      <w:rPr>
        <w:color w:val="3370ff"/>
      </w:rPr>
    </w:lvl>
  </w:abstractNum>
  <w:abstractNum w:abstractNumId="203508">
    <w:lvl>
      <w:numFmt w:val="bullet"/>
      <w:suff w:val="tab"/>
      <w:lvlText w:val="￮"/>
      <w:rPr>
        <w:color w:val="3370ff"/>
      </w:rPr>
    </w:lvl>
  </w:abstractNum>
  <w:abstractNum w:abstractNumId="203509">
    <w:lvl>
      <w:numFmt w:val="bullet"/>
      <w:suff w:val="tab"/>
      <w:lvlText w:val="•"/>
      <w:rPr>
        <w:color w:val="3370ff"/>
      </w:rPr>
    </w:lvl>
  </w:abstractNum>
  <w:abstractNum w:abstractNumId="203510">
    <w:lvl>
      <w:numFmt w:val="bullet"/>
      <w:suff w:val="tab"/>
      <w:lvlText w:val="•"/>
      <w:rPr>
        <w:color w:val="3370ff"/>
      </w:rPr>
    </w:lvl>
  </w:abstractNum>
  <w:abstractNum w:abstractNumId="203511">
    <w:lvl>
      <w:numFmt w:val="bullet"/>
      <w:suff w:val="tab"/>
      <w:lvlText w:val="￮"/>
      <w:rPr>
        <w:color w:val="3370ff"/>
      </w:rPr>
    </w:lvl>
  </w:abstractNum>
  <w:abstractNum w:abstractNumId="203512">
    <w:lvl>
      <w:numFmt w:val="bullet"/>
      <w:suff w:val="tab"/>
      <w:lvlText w:val="￮"/>
      <w:rPr>
        <w:color w:val="3370ff"/>
      </w:rPr>
    </w:lvl>
  </w:abstractNum>
  <w:abstractNum w:abstractNumId="203513">
    <w:lvl>
      <w:numFmt w:val="bullet"/>
      <w:suff w:val="tab"/>
      <w:lvlText w:val="•"/>
      <w:rPr>
        <w:color w:val="3370ff"/>
      </w:rPr>
    </w:lvl>
  </w:abstractNum>
  <w:abstractNum w:abstractNumId="203514">
    <w:lvl>
      <w:numFmt w:val="bullet"/>
      <w:suff w:val="tab"/>
      <w:lvlText w:val="•"/>
      <w:rPr>
        <w:color w:val="3370ff"/>
      </w:rPr>
    </w:lvl>
  </w:abstractNum>
  <w:abstractNum w:abstractNumId="203515">
    <w:lvl>
      <w:numFmt w:val="bullet"/>
      <w:suff w:val="tab"/>
      <w:lvlText w:val="•"/>
      <w:rPr>
        <w:color w:val="3370ff"/>
      </w:rPr>
    </w:lvl>
  </w:abstractNum>
  <w:abstractNum w:abstractNumId="203516">
    <w:lvl>
      <w:numFmt w:val="bullet"/>
      <w:suff w:val="tab"/>
      <w:lvlText w:val="•"/>
      <w:rPr>
        <w:color w:val="3370ff"/>
      </w:rPr>
    </w:lvl>
  </w:abstractNum>
  <w:abstractNum w:abstractNumId="203517">
    <w:lvl>
      <w:numFmt w:val="bullet"/>
      <w:suff w:val="tab"/>
      <w:lvlText w:val="•"/>
      <w:rPr>
        <w:color w:val="3370ff"/>
      </w:rPr>
    </w:lvl>
  </w:abstractNum>
  <w:abstractNum w:abstractNumId="203518">
    <w:lvl>
      <w:numFmt w:val="bullet"/>
      <w:suff w:val="tab"/>
      <w:lvlText w:val="•"/>
      <w:rPr>
        <w:color w:val="3370ff"/>
      </w:rPr>
    </w:lvl>
  </w:abstractNum>
  <w:abstractNum w:abstractNumId="203519">
    <w:lvl>
      <w:numFmt w:val="bullet"/>
      <w:suff w:val="tab"/>
      <w:lvlText w:val="•"/>
      <w:rPr>
        <w:color w:val="3370ff"/>
      </w:rPr>
    </w:lvl>
  </w:abstractNum>
  <w:abstractNum w:abstractNumId="203520">
    <w:lvl>
      <w:numFmt w:val="bullet"/>
      <w:suff w:val="tab"/>
      <w:lvlText w:val="•"/>
      <w:rPr>
        <w:color w:val="3370ff"/>
      </w:rPr>
    </w:lvl>
  </w:abstractNum>
  <w:abstractNum w:abstractNumId="203521">
    <w:lvl>
      <w:numFmt w:val="bullet"/>
      <w:suff w:val="tab"/>
      <w:lvlText w:val="•"/>
      <w:rPr>
        <w:color w:val="3370ff"/>
      </w:rPr>
    </w:lvl>
  </w:abstractNum>
  <w:abstractNum w:abstractNumId="203522">
    <w:lvl>
      <w:numFmt w:val="bullet"/>
      <w:suff w:val="tab"/>
      <w:lvlText w:val="•"/>
      <w:rPr>
        <w:color w:val="3370ff"/>
      </w:rPr>
    </w:lvl>
  </w:abstractNum>
  <w:abstractNum w:abstractNumId="203523">
    <w:lvl>
      <w:numFmt w:val="bullet"/>
      <w:suff w:val="tab"/>
      <w:lvlText w:val="•"/>
      <w:rPr>
        <w:color w:val="3370ff"/>
      </w:rPr>
    </w:lvl>
  </w:abstractNum>
  <w:abstractNum w:abstractNumId="203524">
    <w:lvl>
      <w:numFmt w:val="bullet"/>
      <w:suff w:val="tab"/>
      <w:lvlText w:val="•"/>
      <w:rPr>
        <w:color w:val="3370ff"/>
      </w:rPr>
    </w:lvl>
  </w:abstractNum>
  <w:abstractNum w:abstractNumId="203525">
    <w:lvl>
      <w:numFmt w:val="bullet"/>
      <w:suff w:val="tab"/>
      <w:lvlText w:val="•"/>
      <w:rPr>
        <w:color w:val="3370ff"/>
      </w:rPr>
    </w:lvl>
  </w:abstractNum>
  <w:abstractNum w:abstractNumId="203526">
    <w:lvl>
      <w:numFmt w:val="bullet"/>
      <w:suff w:val="tab"/>
      <w:lvlText w:val="•"/>
      <w:rPr>
        <w:color w:val="3370ff"/>
      </w:rPr>
    </w:lvl>
  </w:abstractNum>
  <w:abstractNum w:abstractNumId="203527">
    <w:lvl>
      <w:numFmt w:val="bullet"/>
      <w:suff w:val="tab"/>
      <w:lvlText w:val="•"/>
      <w:rPr>
        <w:color w:val="3370ff"/>
      </w:rPr>
    </w:lvl>
  </w:abstractNum>
  <w:abstractNum w:abstractNumId="203528">
    <w:lvl>
      <w:numFmt w:val="bullet"/>
      <w:suff w:val="tab"/>
      <w:lvlText w:val="•"/>
      <w:rPr>
        <w:color w:val="3370ff"/>
      </w:rPr>
    </w:lvl>
  </w:abstractNum>
  <w:abstractNum w:abstractNumId="203529">
    <w:lvl>
      <w:start w:val="1"/>
      <w:numFmt w:val="decimal"/>
      <w:suff w:val="tab"/>
      <w:lvlText w:val="%1."/>
      <w:rPr>
        <w:color w:val="3370ff"/>
      </w:rPr>
    </w:lvl>
  </w:abstractNum>
  <w:abstractNum w:abstractNumId="203530">
    <w:lvl>
      <w:start w:val="2"/>
      <w:numFmt w:val="decimal"/>
      <w:suff w:val="tab"/>
      <w:lvlText w:val="%1."/>
      <w:rPr>
        <w:color w:val="3370ff"/>
      </w:rPr>
    </w:lvl>
  </w:abstractNum>
  <w:abstractNum w:abstractNumId="203531">
    <w:lvl>
      <w:start w:val="3"/>
      <w:numFmt w:val="decimal"/>
      <w:suff w:val="tab"/>
      <w:lvlText w:val="%1."/>
      <w:rPr>
        <w:color w:val="3370ff"/>
      </w:rPr>
    </w:lvl>
  </w:abstractNum>
  <w:abstractNum w:abstractNumId="203532">
    <w:lvl>
      <w:start w:val="1"/>
      <w:numFmt w:val="decimal"/>
      <w:suff w:val="tab"/>
      <w:lvlText w:val="%1."/>
      <w:rPr>
        <w:color w:val="3370ff"/>
      </w:rPr>
    </w:lvl>
  </w:abstractNum>
  <w:abstractNum w:abstractNumId="203533">
    <w:lvl>
      <w:start w:val="2"/>
      <w:numFmt w:val="decimal"/>
      <w:suff w:val="tab"/>
      <w:lvlText w:val="%1."/>
      <w:rPr>
        <w:color w:val="3370ff"/>
      </w:rPr>
    </w:lvl>
  </w:abstractNum>
  <w:abstractNum w:abstractNumId="203534">
    <w:lvl>
      <w:start w:val="3"/>
      <w:numFmt w:val="decimal"/>
      <w:suff w:val="tab"/>
      <w:lvlText w:val="%1."/>
      <w:rPr>
        <w:color w:val="3370ff"/>
      </w:rPr>
    </w:lvl>
  </w:abstractNum>
  <w:abstractNum w:abstractNumId="203535">
    <w:lvl>
      <w:start w:val="4"/>
      <w:numFmt w:val="decimal"/>
      <w:suff w:val="tab"/>
      <w:lvlText w:val="%1."/>
      <w:rPr>
        <w:color w:val="3370ff"/>
      </w:rPr>
    </w:lvl>
  </w:abstractNum>
  <w:abstractNum w:abstractNumId="203536">
    <w:lvl>
      <w:start w:val="5"/>
      <w:numFmt w:val="decimal"/>
      <w:suff w:val="tab"/>
      <w:lvlText w:val="%1."/>
      <w:rPr>
        <w:color w:val="3370ff"/>
      </w:rPr>
    </w:lvl>
  </w:abstractNum>
  <w:abstractNum w:abstractNumId="203537">
    <w:lvl>
      <w:start w:val="6"/>
      <w:numFmt w:val="decimal"/>
      <w:suff w:val="tab"/>
      <w:lvlText w:val="%1."/>
      <w:rPr>
        <w:color w:val="3370ff"/>
      </w:rPr>
    </w:lvl>
  </w:abstractNum>
  <w:abstractNum w:abstractNumId="203538">
    <w:lvl>
      <w:start w:val="7"/>
      <w:numFmt w:val="decimal"/>
      <w:suff w:val="tab"/>
      <w:lvlText w:val="%1."/>
      <w:rPr>
        <w:color w:val="3370ff"/>
      </w:rPr>
    </w:lvl>
  </w:abstractNum>
  <w:abstractNum w:abstractNumId="203539">
    <w:lvl>
      <w:start w:val="8"/>
      <w:numFmt w:val="decimal"/>
      <w:suff w:val="tab"/>
      <w:lvlText w:val="%1."/>
      <w:rPr>
        <w:color w:val="3370ff"/>
      </w:rPr>
    </w:lvl>
  </w:abstractNum>
  <w:abstractNum w:abstractNumId="203540">
    <w:lvl>
      <w:numFmt w:val="bullet"/>
      <w:suff w:val="tab"/>
      <w:lvlText w:val="•"/>
      <w:rPr>
        <w:color w:val="3370ff"/>
      </w:rPr>
    </w:lvl>
  </w:abstractNum>
  <w:abstractNum w:abstractNumId="203541">
    <w:lvl>
      <w:numFmt w:val="bullet"/>
      <w:suff w:val="tab"/>
      <w:lvlText w:val="•"/>
      <w:rPr>
        <w:color w:val="3370ff"/>
      </w:rPr>
    </w:lvl>
  </w:abstractNum>
  <w:abstractNum w:abstractNumId="203542">
    <w:lvl>
      <w:numFmt w:val="bullet"/>
      <w:suff w:val="tab"/>
      <w:lvlText w:val="•"/>
      <w:rPr>
        <w:color w:val="3370ff"/>
      </w:rPr>
    </w:lvl>
  </w:abstractNum>
  <w:abstractNum w:abstractNumId="203543">
    <w:lvl>
      <w:numFmt w:val="bullet"/>
      <w:suff w:val="tab"/>
      <w:lvlText w:val="•"/>
      <w:rPr>
        <w:color w:val="3370ff"/>
      </w:rPr>
    </w:lvl>
  </w:abstractNum>
  <w:abstractNum w:abstractNumId="203544">
    <w:lvl>
      <w:numFmt w:val="bullet"/>
      <w:suff w:val="tab"/>
      <w:lvlText w:val="•"/>
      <w:rPr>
        <w:color w:val="3370ff"/>
      </w:rPr>
    </w:lvl>
  </w:abstractNum>
  <w:abstractNum w:abstractNumId="203545">
    <w:lvl>
      <w:numFmt w:val="bullet"/>
      <w:suff w:val="tab"/>
      <w:lvlText w:val="•"/>
      <w:rPr>
        <w:color w:val="3370ff"/>
      </w:rPr>
    </w:lvl>
  </w:abstractNum>
  <w:abstractNum w:abstractNumId="203546">
    <w:lvl>
      <w:numFmt w:val="bullet"/>
      <w:suff w:val="tab"/>
      <w:lvlText w:val="•"/>
      <w:rPr>
        <w:color w:val="3370ff"/>
      </w:rPr>
    </w:lvl>
  </w:abstractNum>
  <w:abstractNum w:abstractNumId="203547">
    <w:lvl>
      <w:numFmt w:val="bullet"/>
      <w:suff w:val="tab"/>
      <w:lvlText w:val="•"/>
      <w:rPr>
        <w:color w:val="3370ff"/>
      </w:rPr>
    </w:lvl>
  </w:abstractNum>
  <w:abstractNum w:abstractNumId="203548">
    <w:lvl>
      <w:numFmt w:val="bullet"/>
      <w:suff w:val="tab"/>
      <w:lvlText w:val="￮"/>
      <w:rPr>
        <w:color w:val="3370ff"/>
      </w:rPr>
    </w:lvl>
  </w:abstractNum>
  <w:abstractNum w:abstractNumId="203549">
    <w:lvl>
      <w:numFmt w:val="bullet"/>
      <w:suff w:val="tab"/>
      <w:lvlText w:val="￮"/>
      <w:rPr>
        <w:color w:val="3370ff"/>
      </w:rPr>
    </w:lvl>
  </w:abstractNum>
  <w:abstractNum w:abstractNumId="203550">
    <w:lvl>
      <w:numFmt w:val="bullet"/>
      <w:suff w:val="tab"/>
      <w:lvlText w:val="▪"/>
      <w:rPr>
        <w:color w:val="3370ff"/>
        <w:sz w:val="11"/>
      </w:rPr>
    </w:lvl>
  </w:abstractNum>
  <w:abstractNum w:abstractNumId="203551">
    <w:lvl>
      <w:numFmt w:val="bullet"/>
      <w:suff w:val="tab"/>
      <w:lvlText w:val="▪"/>
      <w:rPr>
        <w:color w:val="3370ff"/>
        <w:sz w:val="11"/>
      </w:rPr>
    </w:lvl>
  </w:abstractNum>
  <w:abstractNum w:abstractNumId="203552">
    <w:lvl>
      <w:numFmt w:val="bullet"/>
      <w:suff w:val="tab"/>
      <w:lvlText w:val="￮"/>
      <w:rPr>
        <w:color w:val="3370ff"/>
      </w:rPr>
    </w:lvl>
  </w:abstractNum>
  <w:abstractNum w:abstractNumId="203553">
    <w:lvl>
      <w:numFmt w:val="bullet"/>
      <w:suff w:val="tab"/>
      <w:lvlText w:val="￮"/>
      <w:rPr>
        <w:color w:val="3370ff"/>
      </w:rPr>
    </w:lvl>
  </w:abstractNum>
  <w:abstractNum w:abstractNumId="203554">
    <w:lvl>
      <w:numFmt w:val="bullet"/>
      <w:suff w:val="tab"/>
      <w:lvlText w:val="•"/>
      <w:rPr>
        <w:color w:val="3370ff"/>
      </w:rPr>
    </w:lvl>
  </w:abstractNum>
  <w:abstractNum w:abstractNumId="203555">
    <w:lvl>
      <w:start w:val="1"/>
      <w:numFmt w:val="lowerLetter"/>
      <w:suff w:val="tab"/>
      <w:lvlText w:val="%1."/>
      <w:rPr>
        <w:color w:val="3370ff"/>
      </w:rPr>
    </w:lvl>
  </w:abstractNum>
  <w:abstractNum w:abstractNumId="203556">
    <w:lvl>
      <w:start w:val="2"/>
      <w:numFmt w:val="lowerLetter"/>
      <w:suff w:val="tab"/>
      <w:lvlText w:val="%1."/>
      <w:rPr>
        <w:color w:val="3370ff"/>
      </w:rPr>
    </w:lvl>
  </w:abstractNum>
  <w:abstractNum w:abstractNumId="203557">
    <w:lvl>
      <w:start w:val="3"/>
      <w:numFmt w:val="lowerLetter"/>
      <w:suff w:val="tab"/>
      <w:lvlText w:val="%1."/>
      <w:rPr>
        <w:color w:val="3370ff"/>
      </w:rPr>
    </w:lvl>
  </w:abstractNum>
  <w:abstractNum w:abstractNumId="203558">
    <w:lvl>
      <w:start w:val="4"/>
      <w:numFmt w:val="lowerLetter"/>
      <w:suff w:val="tab"/>
      <w:lvlText w:val="%1."/>
      <w:rPr>
        <w:color w:val="3370ff"/>
      </w:rPr>
    </w:lvl>
  </w:abstractNum>
  <w:abstractNum w:abstractNumId="203559">
    <w:lvl>
      <w:numFmt w:val="bullet"/>
      <w:suff w:val="tab"/>
      <w:lvlText w:val="•"/>
      <w:rPr>
        <w:color w:val="3370ff"/>
      </w:rPr>
    </w:lvl>
  </w:abstractNum>
  <w:abstractNum w:abstractNumId="203560">
    <w:lvl>
      <w:numFmt w:val="bullet"/>
      <w:suff w:val="tab"/>
      <w:lvlText w:val="•"/>
      <w:rPr>
        <w:color w:val="3370ff"/>
      </w:rPr>
    </w:lvl>
  </w:abstractNum>
  <w:abstractNum w:abstractNumId="203561">
    <w:lvl>
      <w:numFmt w:val="bullet"/>
      <w:suff w:val="tab"/>
      <w:lvlText w:val="•"/>
      <w:rPr>
        <w:color w:val="3370ff"/>
      </w:rPr>
    </w:lvl>
  </w:abstractNum>
  <w:abstractNum w:abstractNumId="203562">
    <w:lvl>
      <w:numFmt w:val="bullet"/>
      <w:suff w:val="tab"/>
      <w:lvlText w:val="•"/>
      <w:rPr>
        <w:color w:val="3370ff"/>
      </w:rPr>
    </w:lvl>
  </w:abstractNum>
  <w:abstractNum w:abstractNumId="203563">
    <w:lvl>
      <w:numFmt w:val="bullet"/>
      <w:suff w:val="tab"/>
      <w:lvlText w:val="•"/>
      <w:rPr>
        <w:color w:val="3370ff"/>
      </w:rPr>
    </w:lvl>
  </w:abstractNum>
  <w:abstractNum w:abstractNumId="203564">
    <w:lvl>
      <w:numFmt w:val="bullet"/>
      <w:suff w:val="tab"/>
      <w:lvlText w:val="•"/>
      <w:rPr>
        <w:color w:val="3370ff"/>
      </w:rPr>
    </w:lvl>
  </w:abstractNum>
  <w:abstractNum w:abstractNumId="203565">
    <w:lvl>
      <w:numFmt w:val="bullet"/>
      <w:suff w:val="tab"/>
      <w:lvlText w:val="•"/>
      <w:rPr>
        <w:color w:val="3370ff"/>
      </w:rPr>
    </w:lvl>
  </w:abstractNum>
  <w:abstractNum w:abstractNumId="203566">
    <w:lvl>
      <w:numFmt w:val="bullet"/>
      <w:suff w:val="tab"/>
      <w:lvlText w:val="￮"/>
      <w:rPr>
        <w:color w:val="3370ff"/>
      </w:rPr>
    </w:lvl>
  </w:abstractNum>
  <w:abstractNum w:abstractNumId="203567">
    <w:lvl>
      <w:numFmt w:val="bullet"/>
      <w:suff w:val="tab"/>
      <w:lvlText w:val="￮"/>
      <w:rPr>
        <w:color w:val="3370ff"/>
      </w:rPr>
    </w:lvl>
  </w:abstractNum>
  <w:abstractNum w:abstractNumId="203568">
    <w:lvl>
      <w:numFmt w:val="bullet"/>
      <w:suff w:val="tab"/>
      <w:lvlText w:val="•"/>
      <w:rPr>
        <w:color w:val="3370ff"/>
      </w:rPr>
    </w:lvl>
  </w:abstractNum>
  <w:abstractNum w:abstractNumId="203569">
    <w:lvl>
      <w:numFmt w:val="bullet"/>
      <w:suff w:val="tab"/>
      <w:lvlText w:val="•"/>
      <w:rPr>
        <w:color w:val="3370ff"/>
      </w:rPr>
    </w:lvl>
  </w:abstractNum>
  <w:abstractNum w:abstractNumId="203570">
    <w:lvl>
      <w:numFmt w:val="bullet"/>
      <w:suff w:val="tab"/>
      <w:lvlText w:val="•"/>
      <w:rPr>
        <w:color w:val="3370ff"/>
      </w:rPr>
    </w:lvl>
  </w:abstractNum>
  <w:abstractNum w:abstractNumId="203571">
    <w:lvl>
      <w:numFmt w:val="bullet"/>
      <w:suff w:val="tab"/>
      <w:lvlText w:val="•"/>
      <w:rPr>
        <w:color w:val="3370ff"/>
      </w:rPr>
    </w:lvl>
  </w:abstractNum>
  <w:abstractNum w:abstractNumId="203572">
    <w:lvl>
      <w:numFmt w:val="bullet"/>
      <w:suff w:val="tab"/>
      <w:lvlText w:val="•"/>
      <w:rPr>
        <w:color w:val="3370ff"/>
      </w:rPr>
    </w:lvl>
  </w:abstractNum>
  <w:abstractNum w:abstractNumId="203573">
    <w:lvl>
      <w:numFmt w:val="bullet"/>
      <w:suff w:val="tab"/>
      <w:lvlText w:val="•"/>
      <w:rPr>
        <w:color w:val="3370ff"/>
      </w:rPr>
    </w:lvl>
  </w:abstractNum>
  <w:abstractNum w:abstractNumId="203574">
    <w:lvl>
      <w:numFmt w:val="bullet"/>
      <w:suff w:val="tab"/>
      <w:lvlText w:val="•"/>
      <w:rPr>
        <w:color w:val="3370ff"/>
      </w:rPr>
    </w:lvl>
  </w:abstractNum>
  <w:abstractNum w:abstractNumId="203575">
    <w:lvl>
      <w:numFmt w:val="bullet"/>
      <w:suff w:val="tab"/>
      <w:lvlText w:val="•"/>
      <w:rPr>
        <w:color w:val="3370ff"/>
      </w:rPr>
    </w:lvl>
  </w:abstractNum>
  <w:abstractNum w:abstractNumId="203576">
    <w:lvl>
      <w:numFmt w:val="bullet"/>
      <w:suff w:val="tab"/>
      <w:lvlText w:val="•"/>
      <w:rPr>
        <w:color w:val="3370ff"/>
      </w:rPr>
    </w:lvl>
  </w:abstractNum>
  <w:abstractNum w:abstractNumId="203577">
    <w:lvl>
      <w:numFmt w:val="bullet"/>
      <w:suff w:val="tab"/>
      <w:lvlText w:val="•"/>
      <w:rPr>
        <w:color w:val="3370ff"/>
      </w:rPr>
    </w:lvl>
  </w:abstractNum>
  <w:abstractNum w:abstractNumId="203578">
    <w:lvl>
      <w:numFmt w:val="bullet"/>
      <w:suff w:val="tab"/>
      <w:lvlText w:val="•"/>
      <w:rPr>
        <w:color w:val="3370ff"/>
      </w:rPr>
    </w:lvl>
  </w:abstractNum>
  <w:abstractNum w:abstractNumId="203579">
    <w:lvl>
      <w:numFmt w:val="bullet"/>
      <w:suff w:val="tab"/>
      <w:lvlText w:val="•"/>
      <w:rPr>
        <w:color w:val="3370ff"/>
      </w:rPr>
    </w:lvl>
  </w:abstractNum>
  <w:abstractNum w:abstractNumId="203580">
    <w:lvl>
      <w:numFmt w:val="bullet"/>
      <w:suff w:val="tab"/>
      <w:lvlText w:val="•"/>
      <w:rPr>
        <w:color w:val="3370ff"/>
      </w:rPr>
    </w:lvl>
  </w:abstractNum>
  <w:abstractNum w:abstractNumId="203581">
    <w:lvl>
      <w:numFmt w:val="bullet"/>
      <w:suff w:val="tab"/>
      <w:lvlText w:val="•"/>
      <w:rPr>
        <w:color w:val="3370ff"/>
      </w:rPr>
    </w:lvl>
  </w:abstractNum>
  <w:abstractNum w:abstractNumId="203582">
    <w:lvl>
      <w:numFmt w:val="bullet"/>
      <w:suff w:val="tab"/>
      <w:lvlText w:val="•"/>
      <w:rPr>
        <w:color w:val="3370ff"/>
      </w:rPr>
    </w:lvl>
  </w:abstractNum>
  <w:abstractNum w:abstractNumId="203583">
    <w:lvl>
      <w:numFmt w:val="bullet"/>
      <w:suff w:val="tab"/>
      <w:lvlText w:val="•"/>
      <w:rPr>
        <w:color w:val="3370ff"/>
      </w:rPr>
    </w:lvl>
  </w:abstractNum>
  <w:abstractNum w:abstractNumId="203584">
    <w:lvl>
      <w:numFmt w:val="bullet"/>
      <w:suff w:val="tab"/>
      <w:lvlText w:val="•"/>
      <w:rPr>
        <w:color w:val="3370ff"/>
      </w:rPr>
    </w:lvl>
  </w:abstractNum>
  <w:abstractNum w:abstractNumId="203585">
    <w:lvl>
      <w:numFmt w:val="bullet"/>
      <w:suff w:val="tab"/>
      <w:lvlText w:val="•"/>
      <w:rPr>
        <w:color w:val="3370ff"/>
      </w:rPr>
    </w:lvl>
  </w:abstractNum>
  <w:abstractNum w:abstractNumId="203586">
    <w:lvl>
      <w:numFmt w:val="bullet"/>
      <w:suff w:val="tab"/>
      <w:lvlText w:val="•"/>
      <w:rPr>
        <w:color w:val="3370ff"/>
      </w:rPr>
    </w:lvl>
  </w:abstractNum>
  <w:abstractNum w:abstractNumId="203587">
    <w:lvl>
      <w:numFmt w:val="bullet"/>
      <w:suff w:val="tab"/>
      <w:lvlText w:val="•"/>
      <w:rPr>
        <w:color w:val="3370ff"/>
      </w:rPr>
    </w:lvl>
  </w:abstractNum>
  <w:abstractNum w:abstractNumId="203588">
    <w:lvl>
      <w:numFmt w:val="bullet"/>
      <w:suff w:val="tab"/>
      <w:lvlText w:val="•"/>
      <w:rPr>
        <w:color w:val="3370ff"/>
      </w:rPr>
    </w:lvl>
  </w:abstractNum>
  <w:abstractNum w:abstractNumId="203589">
    <w:lvl>
      <w:numFmt w:val="bullet"/>
      <w:suff w:val="tab"/>
      <w:lvlText w:val="•"/>
      <w:rPr>
        <w:color w:val="3370ff"/>
      </w:rPr>
    </w:lvl>
  </w:abstractNum>
  <w:abstractNum w:abstractNumId="203590">
    <w:lvl>
      <w:numFmt w:val="bullet"/>
      <w:suff w:val="tab"/>
      <w:lvlText w:val="•"/>
      <w:rPr>
        <w:color w:val="3370ff"/>
      </w:rPr>
    </w:lvl>
  </w:abstractNum>
  <w:abstractNum w:abstractNumId="203591">
    <w:lvl>
      <w:numFmt w:val="bullet"/>
      <w:suff w:val="tab"/>
      <w:lvlText w:val="•"/>
      <w:rPr>
        <w:color w:val="3370ff"/>
      </w:rPr>
    </w:lvl>
  </w:abstractNum>
  <w:abstractNum w:abstractNumId="203592">
    <w:lvl>
      <w:numFmt w:val="bullet"/>
      <w:suff w:val="tab"/>
      <w:lvlText w:val="•"/>
      <w:rPr>
        <w:color w:val="3370ff"/>
      </w:rPr>
    </w:lvl>
  </w:abstractNum>
  <w:abstractNum w:abstractNumId="203593">
    <w:lvl>
      <w:numFmt w:val="bullet"/>
      <w:suff w:val="tab"/>
      <w:lvlText w:val="•"/>
      <w:rPr>
        <w:color w:val="3370ff"/>
      </w:rPr>
    </w:lvl>
  </w:abstractNum>
  <w:abstractNum w:abstractNumId="203594">
    <w:lvl>
      <w:numFmt w:val="bullet"/>
      <w:suff w:val="tab"/>
      <w:lvlText w:val="•"/>
      <w:rPr>
        <w:color w:val="3370ff"/>
      </w:rPr>
    </w:lvl>
  </w:abstractNum>
  <w:abstractNum w:abstractNumId="203595">
    <w:lvl>
      <w:numFmt w:val="bullet"/>
      <w:suff w:val="tab"/>
      <w:lvlText w:val="•"/>
      <w:rPr>
        <w:color w:val="3370ff"/>
      </w:rPr>
    </w:lvl>
  </w:abstractNum>
  <w:abstractNum w:abstractNumId="203596">
    <w:lvl>
      <w:numFmt w:val="bullet"/>
      <w:suff w:val="tab"/>
      <w:lvlText w:val="•"/>
      <w:rPr>
        <w:color w:val="3370ff"/>
      </w:rPr>
    </w:lvl>
  </w:abstractNum>
  <w:abstractNum w:abstractNumId="203597">
    <w:lvl>
      <w:numFmt w:val="bullet"/>
      <w:suff w:val="tab"/>
      <w:lvlText w:val="•"/>
      <w:rPr>
        <w:color w:val="3370ff"/>
      </w:rPr>
    </w:lvl>
  </w:abstractNum>
  <w:abstractNum w:abstractNumId="203598">
    <w:lvl>
      <w:numFmt w:val="bullet"/>
      <w:suff w:val="tab"/>
      <w:lvlText w:val="•"/>
      <w:rPr>
        <w:color w:val="3370ff"/>
      </w:rPr>
    </w:lvl>
  </w:abstractNum>
  <w:abstractNum w:abstractNumId="203599">
    <w:lvl>
      <w:numFmt w:val="bullet"/>
      <w:suff w:val="tab"/>
      <w:lvlText w:val="•"/>
      <w:rPr>
        <w:color w:val="3370ff"/>
      </w:rPr>
    </w:lvl>
  </w:abstractNum>
  <w:abstractNum w:abstractNumId="203600">
    <w:lvl>
      <w:numFmt w:val="bullet"/>
      <w:suff w:val="tab"/>
      <w:lvlText w:val="￮"/>
      <w:rPr>
        <w:color w:val="3370ff"/>
      </w:rPr>
    </w:lvl>
  </w:abstractNum>
  <w:abstractNum w:abstractNumId="203601">
    <w:lvl>
      <w:numFmt w:val="bullet"/>
      <w:suff w:val="tab"/>
      <w:lvlText w:val="￮"/>
      <w:rPr>
        <w:color w:val="3370ff"/>
      </w:rPr>
    </w:lvl>
  </w:abstractNum>
  <w:abstractNum w:abstractNumId="203602">
    <w:lvl>
      <w:numFmt w:val="bullet"/>
      <w:suff w:val="tab"/>
      <w:lvlText w:val="•"/>
      <w:rPr>
        <w:color w:val="3370ff"/>
      </w:rPr>
    </w:lvl>
  </w:abstractNum>
  <w:abstractNum w:abstractNumId="203603">
    <w:lvl>
      <w:numFmt w:val="bullet"/>
      <w:suff w:val="tab"/>
      <w:lvlText w:val="•"/>
      <w:rPr>
        <w:color w:val="3370ff"/>
      </w:rPr>
    </w:lvl>
  </w:abstractNum>
  <w:abstractNum w:abstractNumId="203604">
    <w:lvl>
      <w:numFmt w:val="bullet"/>
      <w:suff w:val="tab"/>
      <w:lvlText w:val="•"/>
      <w:rPr>
        <w:color w:val="3370ff"/>
      </w:rPr>
    </w:lvl>
  </w:abstractNum>
  <w:abstractNum w:abstractNumId="203605">
    <w:lvl>
      <w:numFmt w:val="bullet"/>
      <w:suff w:val="tab"/>
      <w:lvlText w:val="•"/>
      <w:rPr>
        <w:color w:val="3370ff"/>
      </w:rPr>
    </w:lvl>
  </w:abstractNum>
  <w:abstractNum w:abstractNumId="203606">
    <w:lvl>
      <w:numFmt w:val="bullet"/>
      <w:suff w:val="tab"/>
      <w:lvlText w:val="•"/>
      <w:rPr>
        <w:color w:val="3370ff"/>
      </w:rPr>
    </w:lvl>
  </w:abstractNum>
  <w:abstractNum w:abstractNumId="203607">
    <w:lvl>
      <w:numFmt w:val="bullet"/>
      <w:suff w:val="tab"/>
      <w:lvlText w:val="•"/>
      <w:rPr>
        <w:color w:val="3370ff"/>
      </w:rPr>
    </w:lvl>
  </w:abstractNum>
  <w:abstractNum w:abstractNumId="203608">
    <w:lvl>
      <w:numFmt w:val="bullet"/>
      <w:suff w:val="tab"/>
      <w:lvlText w:val="•"/>
      <w:rPr>
        <w:color w:val="3370ff"/>
      </w:rPr>
    </w:lvl>
  </w:abstractNum>
  <w:abstractNum w:abstractNumId="203609">
    <w:lvl>
      <w:numFmt w:val="bullet"/>
      <w:suff w:val="tab"/>
      <w:lvlText w:val="•"/>
      <w:rPr>
        <w:color w:val="3370ff"/>
      </w:rPr>
    </w:lvl>
  </w:abstractNum>
  <w:abstractNum w:abstractNumId="203610">
    <w:lvl>
      <w:numFmt w:val="bullet"/>
      <w:suff w:val="tab"/>
      <w:lvlText w:val="•"/>
      <w:rPr>
        <w:color w:val="3370ff"/>
      </w:rPr>
    </w:lvl>
  </w:abstractNum>
  <w:abstractNum w:abstractNumId="203611">
    <w:lvl>
      <w:numFmt w:val="bullet"/>
      <w:suff w:val="tab"/>
      <w:lvlText w:val="•"/>
      <w:rPr>
        <w:color w:val="3370ff"/>
      </w:rPr>
    </w:lvl>
  </w:abstractNum>
  <w:abstractNum w:abstractNumId="203612">
    <w:lvl>
      <w:numFmt w:val="bullet"/>
      <w:suff w:val="tab"/>
      <w:lvlText w:val="•"/>
      <w:rPr>
        <w:color w:val="3370ff"/>
      </w:rPr>
    </w:lvl>
  </w:abstractNum>
  <w:abstractNum w:abstractNumId="203613">
    <w:lvl>
      <w:numFmt w:val="bullet"/>
      <w:suff w:val="tab"/>
      <w:lvlText w:val="•"/>
      <w:rPr>
        <w:color w:val="3370ff"/>
      </w:rPr>
    </w:lvl>
  </w:abstractNum>
  <w:abstractNum w:abstractNumId="203614">
    <w:lvl>
      <w:numFmt w:val="bullet"/>
      <w:suff w:val="tab"/>
      <w:lvlText w:val="￮"/>
      <w:rPr>
        <w:color w:val="3370ff"/>
      </w:rPr>
    </w:lvl>
  </w:abstractNum>
  <w:abstractNum w:abstractNumId="203615">
    <w:lvl>
      <w:numFmt w:val="bullet"/>
      <w:suff w:val="tab"/>
      <w:lvlText w:val="￮"/>
      <w:rPr>
        <w:color w:val="3370ff"/>
      </w:rPr>
    </w:lvl>
  </w:abstractNum>
  <w:abstractNum w:abstractNumId="203616">
    <w:lvl>
      <w:numFmt w:val="bullet"/>
      <w:suff w:val="tab"/>
      <w:lvlText w:val="￮"/>
      <w:rPr>
        <w:color w:val="3370ff"/>
      </w:rPr>
    </w:lvl>
  </w:abstractNum>
  <w:abstractNum w:abstractNumId="203617">
    <w:lvl>
      <w:numFmt w:val="bullet"/>
      <w:suff w:val="tab"/>
      <w:lvlText w:val="￮"/>
      <w:rPr>
        <w:color w:val="3370ff"/>
      </w:rPr>
    </w:lvl>
  </w:abstractNum>
  <w:abstractNum w:abstractNumId="203618">
    <w:lvl>
      <w:numFmt w:val="bullet"/>
      <w:suff w:val="tab"/>
      <w:lvlText w:val="￮"/>
      <w:rPr>
        <w:color w:val="3370ff"/>
      </w:rPr>
    </w:lvl>
  </w:abstractNum>
  <w:abstractNum w:abstractNumId="203619">
    <w:lvl>
      <w:numFmt w:val="bullet"/>
      <w:suff w:val="tab"/>
      <w:lvlText w:val="￮"/>
      <w:rPr>
        <w:color w:val="3370ff"/>
      </w:rPr>
    </w:lvl>
  </w:abstractNum>
  <w:abstractNum w:abstractNumId="203620">
    <w:lvl>
      <w:numFmt w:val="bullet"/>
      <w:suff w:val="tab"/>
      <w:lvlText w:val="￮"/>
      <w:rPr>
        <w:color w:val="3370ff"/>
      </w:rPr>
    </w:lvl>
  </w:abstractNum>
  <w:abstractNum w:abstractNumId="203621">
    <w:lvl>
      <w:numFmt w:val="bullet"/>
      <w:suff w:val="tab"/>
      <w:lvlText w:val="￮"/>
      <w:rPr>
        <w:color w:val="3370ff"/>
      </w:rPr>
    </w:lvl>
  </w:abstractNum>
  <w:abstractNum w:abstractNumId="203622">
    <w:lvl>
      <w:numFmt w:val="bullet"/>
      <w:suff w:val="tab"/>
      <w:lvlText w:val="•"/>
      <w:rPr>
        <w:color w:val="3370ff"/>
      </w:rPr>
    </w:lvl>
  </w:abstractNum>
  <w:abstractNum w:abstractNumId="203623">
    <w:lvl>
      <w:numFmt w:val="bullet"/>
      <w:suff w:val="tab"/>
      <w:lvlText w:val="•"/>
      <w:rPr>
        <w:color w:val="3370ff"/>
      </w:rPr>
    </w:lvl>
  </w:abstractNum>
  <w:abstractNum w:abstractNumId="203624">
    <w:lvl>
      <w:numFmt w:val="bullet"/>
      <w:suff w:val="tab"/>
      <w:lvlText w:val="•"/>
      <w:rPr>
        <w:color w:val="3370ff"/>
      </w:rPr>
    </w:lvl>
  </w:abstractNum>
  <w:abstractNum w:abstractNumId="203625">
    <w:lvl>
      <w:numFmt w:val="bullet"/>
      <w:suff w:val="tab"/>
      <w:lvlText w:val="•"/>
      <w:rPr>
        <w:color w:val="3370ff"/>
      </w:rPr>
    </w:lvl>
  </w:abstractNum>
  <w:abstractNum w:abstractNumId="203626">
    <w:lvl>
      <w:numFmt w:val="bullet"/>
      <w:suff w:val="tab"/>
      <w:lvlText w:val="•"/>
      <w:rPr>
        <w:color w:val="3370ff"/>
      </w:rPr>
    </w:lvl>
  </w:abstractNum>
  <w:abstractNum w:abstractNumId="203627">
    <w:lvl>
      <w:numFmt w:val="bullet"/>
      <w:suff w:val="tab"/>
      <w:lvlText w:val="•"/>
      <w:rPr>
        <w:color w:val="3370ff"/>
      </w:rPr>
    </w:lvl>
  </w:abstractNum>
  <w:abstractNum w:abstractNumId="203628">
    <w:lvl>
      <w:numFmt w:val="bullet"/>
      <w:suff w:val="tab"/>
      <w:lvlText w:val="•"/>
      <w:rPr>
        <w:color w:val="3370ff"/>
      </w:rPr>
    </w:lvl>
  </w:abstractNum>
  <w:abstractNum w:abstractNumId="203629">
    <w:lvl>
      <w:numFmt w:val="bullet"/>
      <w:suff w:val="tab"/>
      <w:lvlText w:val="•"/>
      <w:rPr>
        <w:color w:val="3370ff"/>
      </w:rPr>
    </w:lvl>
  </w:abstractNum>
  <w:abstractNum w:abstractNumId="203630">
    <w:lvl>
      <w:numFmt w:val="bullet"/>
      <w:suff w:val="tab"/>
      <w:lvlText w:val="•"/>
      <w:rPr>
        <w:color w:val="3370ff"/>
      </w:rPr>
    </w:lvl>
  </w:abstractNum>
  <w:abstractNum w:abstractNumId="203631">
    <w:lvl>
      <w:numFmt w:val="bullet"/>
      <w:suff w:val="tab"/>
      <w:lvlText w:val="•"/>
      <w:rPr>
        <w:color w:val="3370ff"/>
      </w:rPr>
    </w:lvl>
  </w:abstractNum>
  <w:abstractNum w:abstractNumId="203632">
    <w:lvl>
      <w:numFmt w:val="bullet"/>
      <w:suff w:val="tab"/>
      <w:lvlText w:val="•"/>
      <w:rPr>
        <w:color w:val="3370ff"/>
      </w:rPr>
    </w:lvl>
  </w:abstractNum>
  <w:abstractNum w:abstractNumId="203633">
    <w:lvl>
      <w:numFmt w:val="bullet"/>
      <w:suff w:val="tab"/>
      <w:lvlText w:val="•"/>
      <w:rPr>
        <w:color w:val="3370ff"/>
      </w:rPr>
    </w:lvl>
  </w:abstractNum>
  <w:abstractNum w:abstractNumId="203634">
    <w:lvl>
      <w:numFmt w:val="bullet"/>
      <w:suff w:val="tab"/>
      <w:lvlText w:val="•"/>
      <w:rPr>
        <w:color w:val="3370ff"/>
      </w:rPr>
    </w:lvl>
  </w:abstractNum>
  <w:abstractNum w:abstractNumId="203635">
    <w:lvl>
      <w:numFmt w:val="bullet"/>
      <w:suff w:val="tab"/>
      <w:lvlText w:val="•"/>
      <w:rPr>
        <w:color w:val="3370ff"/>
      </w:rPr>
    </w:lvl>
  </w:abstractNum>
  <w:abstractNum w:abstractNumId="203636">
    <w:lvl>
      <w:numFmt w:val="bullet"/>
      <w:suff w:val="tab"/>
      <w:lvlText w:val="•"/>
      <w:rPr>
        <w:color w:val="3370ff"/>
      </w:rPr>
    </w:lvl>
  </w:abstractNum>
  <w:abstractNum w:abstractNumId="203637">
    <w:lvl>
      <w:numFmt w:val="bullet"/>
      <w:suff w:val="tab"/>
      <w:lvlText w:val="•"/>
      <w:rPr>
        <w:color w:val="3370ff"/>
      </w:rPr>
    </w:lvl>
  </w:abstractNum>
  <w:abstractNum w:abstractNumId="203638">
    <w:lvl>
      <w:numFmt w:val="bullet"/>
      <w:suff w:val="tab"/>
      <w:lvlText w:val="•"/>
      <w:rPr>
        <w:color w:val="3370ff"/>
      </w:rPr>
    </w:lvl>
  </w:abstractNum>
  <w:abstractNum w:abstractNumId="203639">
    <w:lvl>
      <w:numFmt w:val="bullet"/>
      <w:suff w:val="tab"/>
      <w:lvlText w:val="•"/>
      <w:rPr>
        <w:color w:val="3370ff"/>
      </w:rPr>
    </w:lvl>
  </w:abstractNum>
  <w:abstractNum w:abstractNumId="203640">
    <w:lvl>
      <w:numFmt w:val="bullet"/>
      <w:suff w:val="tab"/>
      <w:lvlText w:val="•"/>
      <w:rPr>
        <w:color w:val="3370ff"/>
      </w:rPr>
    </w:lvl>
  </w:abstractNum>
  <w:abstractNum w:abstractNumId="203641">
    <w:lvl>
      <w:numFmt w:val="bullet"/>
      <w:suff w:val="tab"/>
      <w:lvlText w:val="•"/>
      <w:rPr>
        <w:color w:val="3370ff"/>
      </w:rPr>
    </w:lvl>
  </w:abstractNum>
  <w:abstractNum w:abstractNumId="203642">
    <w:lvl>
      <w:numFmt w:val="bullet"/>
      <w:suff w:val="tab"/>
      <w:lvlText w:val="•"/>
      <w:rPr>
        <w:color w:val="3370ff"/>
      </w:rPr>
    </w:lvl>
  </w:abstractNum>
  <w:abstractNum w:abstractNumId="203643">
    <w:lvl>
      <w:numFmt w:val="bullet"/>
      <w:suff w:val="tab"/>
      <w:lvlText w:val="•"/>
      <w:rPr>
        <w:color w:val="3370ff"/>
      </w:rPr>
    </w:lvl>
  </w:abstractNum>
  <w:abstractNum w:abstractNumId="203644">
    <w:lvl>
      <w:numFmt w:val="bullet"/>
      <w:suff w:val="tab"/>
      <w:lvlText w:val="•"/>
      <w:rPr>
        <w:color w:val="3370ff"/>
      </w:rPr>
    </w:lvl>
  </w:abstractNum>
  <w:abstractNum w:abstractNumId="203645">
    <w:lvl>
      <w:numFmt w:val="bullet"/>
      <w:suff w:val="tab"/>
      <w:lvlText w:val="•"/>
      <w:rPr>
        <w:color w:val="3370ff"/>
      </w:rPr>
    </w:lvl>
  </w:abstractNum>
  <w:abstractNum w:abstractNumId="203646">
    <w:lvl>
      <w:numFmt w:val="bullet"/>
      <w:suff w:val="tab"/>
      <w:lvlText w:val="•"/>
      <w:rPr>
        <w:color w:val="3370ff"/>
      </w:rPr>
    </w:lvl>
  </w:abstractNum>
  <w:abstractNum w:abstractNumId="203647">
    <w:lvl>
      <w:numFmt w:val="bullet"/>
      <w:suff w:val="tab"/>
      <w:lvlText w:val="•"/>
      <w:rPr>
        <w:color w:val="3370ff"/>
      </w:rPr>
    </w:lvl>
  </w:abstractNum>
  <w:abstractNum w:abstractNumId="203648">
    <w:lvl>
      <w:numFmt w:val="bullet"/>
      <w:suff w:val="tab"/>
      <w:lvlText w:val="•"/>
      <w:rPr>
        <w:color w:val="3370ff"/>
      </w:rPr>
    </w:lvl>
  </w:abstractNum>
  <w:abstractNum w:abstractNumId="203649">
    <w:lvl>
      <w:numFmt w:val="bullet"/>
      <w:suff w:val="tab"/>
      <w:lvlText w:val="•"/>
      <w:rPr>
        <w:color w:val="3370ff"/>
      </w:rPr>
    </w:lvl>
  </w:abstractNum>
  <w:abstractNum w:abstractNumId="203650">
    <w:lvl>
      <w:numFmt w:val="bullet"/>
      <w:suff w:val="tab"/>
      <w:lvlText w:val="•"/>
      <w:rPr>
        <w:color w:val="3370ff"/>
      </w:rPr>
    </w:lvl>
  </w:abstractNum>
  <w:abstractNum w:abstractNumId="203651">
    <w:lvl>
      <w:numFmt w:val="bullet"/>
      <w:suff w:val="tab"/>
      <w:lvlText w:val="•"/>
      <w:rPr>
        <w:color w:val="3370ff"/>
      </w:rPr>
    </w:lvl>
  </w:abstractNum>
  <w:abstractNum w:abstractNumId="203652">
    <w:lvl>
      <w:numFmt w:val="bullet"/>
      <w:suff w:val="tab"/>
      <w:lvlText w:val="•"/>
      <w:rPr>
        <w:color w:val="3370ff"/>
      </w:rPr>
    </w:lvl>
  </w:abstractNum>
  <w:abstractNum w:abstractNumId="203653">
    <w:lvl>
      <w:numFmt w:val="bullet"/>
      <w:suff w:val="tab"/>
      <w:lvlText w:val="•"/>
      <w:rPr>
        <w:color w:val="3370ff"/>
      </w:rPr>
    </w:lvl>
  </w:abstractNum>
  <w:abstractNum w:abstractNumId="203654">
    <w:lvl>
      <w:numFmt w:val="bullet"/>
      <w:suff w:val="tab"/>
      <w:lvlText w:val="•"/>
      <w:rPr>
        <w:color w:val="3370ff"/>
      </w:rPr>
    </w:lvl>
  </w:abstractNum>
  <w:num w:numId="1">
    <w:abstractNumId w:val="203425"/>
  </w:num>
  <w:num w:numId="2">
    <w:abstractNumId w:val="203426"/>
  </w:num>
  <w:num w:numId="3">
    <w:abstractNumId w:val="203427"/>
  </w:num>
  <w:num w:numId="4">
    <w:abstractNumId w:val="203428"/>
  </w:num>
  <w:num w:numId="5">
    <w:abstractNumId w:val="203429"/>
  </w:num>
  <w:num w:numId="6">
    <w:abstractNumId w:val="203430"/>
  </w:num>
  <w:num w:numId="7">
    <w:abstractNumId w:val="203431"/>
  </w:num>
  <w:num w:numId="8">
    <w:abstractNumId w:val="203432"/>
  </w:num>
  <w:num w:numId="9">
    <w:abstractNumId w:val="203433"/>
  </w:num>
  <w:num w:numId="10">
    <w:abstractNumId w:val="203434"/>
  </w:num>
  <w:num w:numId="11">
    <w:abstractNumId w:val="203435"/>
  </w:num>
  <w:num w:numId="12">
    <w:abstractNumId w:val="203436"/>
  </w:num>
  <w:num w:numId="13">
    <w:abstractNumId w:val="203437"/>
  </w:num>
  <w:num w:numId="14">
    <w:abstractNumId w:val="203438"/>
  </w:num>
  <w:num w:numId="15">
    <w:abstractNumId w:val="203439"/>
  </w:num>
  <w:num w:numId="16">
    <w:abstractNumId w:val="203440"/>
  </w:num>
  <w:num w:numId="17">
    <w:abstractNumId w:val="203441"/>
  </w:num>
  <w:num w:numId="18">
    <w:abstractNumId w:val="203442"/>
  </w:num>
  <w:num w:numId="19">
    <w:abstractNumId w:val="203443"/>
  </w:num>
  <w:num w:numId="20">
    <w:abstractNumId w:val="203444"/>
  </w:num>
  <w:num w:numId="21">
    <w:abstractNumId w:val="203445"/>
  </w:num>
  <w:num w:numId="22">
    <w:abstractNumId w:val="203446"/>
  </w:num>
  <w:num w:numId="23">
    <w:abstractNumId w:val="203447"/>
  </w:num>
  <w:num w:numId="24">
    <w:abstractNumId w:val="203448"/>
  </w:num>
  <w:num w:numId="25">
    <w:abstractNumId w:val="203449"/>
  </w:num>
  <w:num w:numId="26">
    <w:abstractNumId w:val="203450"/>
  </w:num>
  <w:num w:numId="27">
    <w:abstractNumId w:val="203451"/>
  </w:num>
  <w:num w:numId="28">
    <w:abstractNumId w:val="203452"/>
  </w:num>
  <w:num w:numId="29">
    <w:abstractNumId w:val="203453"/>
  </w:num>
  <w:num w:numId="30">
    <w:abstractNumId w:val="203454"/>
  </w:num>
  <w:num w:numId="31">
    <w:abstractNumId w:val="203455"/>
  </w:num>
  <w:num w:numId="32">
    <w:abstractNumId w:val="203456"/>
  </w:num>
  <w:num w:numId="33">
    <w:abstractNumId w:val="203457"/>
  </w:num>
  <w:num w:numId="34">
    <w:abstractNumId w:val="203458"/>
  </w:num>
  <w:num w:numId="35">
    <w:abstractNumId w:val="203459"/>
  </w:num>
  <w:num w:numId="36">
    <w:abstractNumId w:val="203460"/>
  </w:num>
  <w:num w:numId="37">
    <w:abstractNumId w:val="203461"/>
  </w:num>
  <w:num w:numId="38">
    <w:abstractNumId w:val="203462"/>
  </w:num>
  <w:num w:numId="39">
    <w:abstractNumId w:val="203463"/>
  </w:num>
  <w:num w:numId="40">
    <w:abstractNumId w:val="203464"/>
  </w:num>
  <w:num w:numId="41">
    <w:abstractNumId w:val="203465"/>
  </w:num>
  <w:num w:numId="42">
    <w:abstractNumId w:val="203466"/>
  </w:num>
  <w:num w:numId="43">
    <w:abstractNumId w:val="203467"/>
  </w:num>
  <w:num w:numId="44">
    <w:abstractNumId w:val="203468"/>
  </w:num>
  <w:num w:numId="45">
    <w:abstractNumId w:val="203469"/>
  </w:num>
  <w:num w:numId="46">
    <w:abstractNumId w:val="203470"/>
  </w:num>
  <w:num w:numId="47">
    <w:abstractNumId w:val="203471"/>
  </w:num>
  <w:num w:numId="48">
    <w:abstractNumId w:val="203472"/>
  </w:num>
  <w:num w:numId="49">
    <w:abstractNumId w:val="203473"/>
  </w:num>
  <w:num w:numId="50">
    <w:abstractNumId w:val="203474"/>
  </w:num>
  <w:num w:numId="51">
    <w:abstractNumId w:val="203475"/>
  </w:num>
  <w:num w:numId="52">
    <w:abstractNumId w:val="203476"/>
  </w:num>
  <w:num w:numId="53">
    <w:abstractNumId w:val="203477"/>
  </w:num>
  <w:num w:numId="54">
    <w:abstractNumId w:val="203478"/>
  </w:num>
  <w:num w:numId="55">
    <w:abstractNumId w:val="203479"/>
  </w:num>
  <w:num w:numId="56">
    <w:abstractNumId w:val="203480"/>
  </w:num>
  <w:num w:numId="57">
    <w:abstractNumId w:val="203481"/>
  </w:num>
  <w:num w:numId="58">
    <w:abstractNumId w:val="203482"/>
  </w:num>
  <w:num w:numId="59">
    <w:abstractNumId w:val="203483"/>
  </w:num>
  <w:num w:numId="60">
    <w:abstractNumId w:val="203484"/>
  </w:num>
  <w:num w:numId="61">
    <w:abstractNumId w:val="203485"/>
  </w:num>
  <w:num w:numId="62">
    <w:abstractNumId w:val="203486"/>
  </w:num>
  <w:num w:numId="63">
    <w:abstractNumId w:val="203487"/>
  </w:num>
  <w:num w:numId="64">
    <w:abstractNumId w:val="203488"/>
  </w:num>
  <w:num w:numId="65">
    <w:abstractNumId w:val="203489"/>
  </w:num>
  <w:num w:numId="66">
    <w:abstractNumId w:val="203490"/>
  </w:num>
  <w:num w:numId="67">
    <w:abstractNumId w:val="203491"/>
  </w:num>
  <w:num w:numId="68">
    <w:abstractNumId w:val="203492"/>
  </w:num>
  <w:num w:numId="69">
    <w:abstractNumId w:val="203493"/>
  </w:num>
  <w:num w:numId="70">
    <w:abstractNumId w:val="203494"/>
  </w:num>
  <w:num w:numId="71">
    <w:abstractNumId w:val="203495"/>
  </w:num>
  <w:num w:numId="72">
    <w:abstractNumId w:val="203496"/>
  </w:num>
  <w:num w:numId="73">
    <w:abstractNumId w:val="203497"/>
  </w:num>
  <w:num w:numId="74">
    <w:abstractNumId w:val="203498"/>
  </w:num>
  <w:num w:numId="75">
    <w:abstractNumId w:val="203499"/>
  </w:num>
  <w:num w:numId="76">
    <w:abstractNumId w:val="203500"/>
  </w:num>
  <w:num w:numId="77">
    <w:abstractNumId w:val="203501"/>
  </w:num>
  <w:num w:numId="78">
    <w:abstractNumId w:val="203502"/>
  </w:num>
  <w:num w:numId="79">
    <w:abstractNumId w:val="203503"/>
  </w:num>
  <w:num w:numId="80">
    <w:abstractNumId w:val="203504"/>
  </w:num>
  <w:num w:numId="81">
    <w:abstractNumId w:val="203505"/>
  </w:num>
  <w:num w:numId="82">
    <w:abstractNumId w:val="203506"/>
  </w:num>
  <w:num w:numId="83">
    <w:abstractNumId w:val="203507"/>
  </w:num>
  <w:num w:numId="84">
    <w:abstractNumId w:val="203508"/>
  </w:num>
  <w:num w:numId="85">
    <w:abstractNumId w:val="203509"/>
  </w:num>
  <w:num w:numId="86">
    <w:abstractNumId w:val="203510"/>
  </w:num>
  <w:num w:numId="87">
    <w:abstractNumId w:val="203511"/>
  </w:num>
  <w:num w:numId="88">
    <w:abstractNumId w:val="203512"/>
  </w:num>
  <w:num w:numId="89">
    <w:abstractNumId w:val="203513"/>
  </w:num>
  <w:num w:numId="90">
    <w:abstractNumId w:val="203514"/>
  </w:num>
  <w:num w:numId="91">
    <w:abstractNumId w:val="203515"/>
  </w:num>
  <w:num w:numId="92">
    <w:abstractNumId w:val="203516"/>
  </w:num>
  <w:num w:numId="93">
    <w:abstractNumId w:val="203517"/>
  </w:num>
  <w:num w:numId="94">
    <w:abstractNumId w:val="203518"/>
  </w:num>
  <w:num w:numId="95">
    <w:abstractNumId w:val="203519"/>
  </w:num>
  <w:num w:numId="96">
    <w:abstractNumId w:val="203520"/>
  </w:num>
  <w:num w:numId="97">
    <w:abstractNumId w:val="203521"/>
  </w:num>
  <w:num w:numId="98">
    <w:abstractNumId w:val="203522"/>
  </w:num>
  <w:num w:numId="99">
    <w:abstractNumId w:val="203523"/>
  </w:num>
  <w:num w:numId="100">
    <w:abstractNumId w:val="203524"/>
  </w:num>
  <w:num w:numId="101">
    <w:abstractNumId w:val="203525"/>
  </w:num>
  <w:num w:numId="102">
    <w:abstractNumId w:val="203526"/>
  </w:num>
  <w:num w:numId="103">
    <w:abstractNumId w:val="203527"/>
  </w:num>
  <w:num w:numId="104">
    <w:abstractNumId w:val="203528"/>
  </w:num>
  <w:num w:numId="105">
    <w:abstractNumId w:val="203529"/>
  </w:num>
  <w:num w:numId="106">
    <w:abstractNumId w:val="203530"/>
  </w:num>
  <w:num w:numId="107">
    <w:abstractNumId w:val="203531"/>
  </w:num>
  <w:num w:numId="108">
    <w:abstractNumId w:val="203532"/>
  </w:num>
  <w:num w:numId="109">
    <w:abstractNumId w:val="203533"/>
  </w:num>
  <w:num w:numId="110">
    <w:abstractNumId w:val="203534"/>
  </w:num>
  <w:num w:numId="111">
    <w:abstractNumId w:val="203535"/>
  </w:num>
  <w:num w:numId="112">
    <w:abstractNumId w:val="203536"/>
  </w:num>
  <w:num w:numId="113">
    <w:abstractNumId w:val="203537"/>
  </w:num>
  <w:num w:numId="114">
    <w:abstractNumId w:val="203538"/>
  </w:num>
  <w:num w:numId="115">
    <w:abstractNumId w:val="203539"/>
  </w:num>
  <w:num w:numId="116">
    <w:abstractNumId w:val="203540"/>
  </w:num>
  <w:num w:numId="117">
    <w:abstractNumId w:val="203541"/>
  </w:num>
  <w:num w:numId="118">
    <w:abstractNumId w:val="203542"/>
  </w:num>
  <w:num w:numId="119">
    <w:abstractNumId w:val="203543"/>
  </w:num>
  <w:num w:numId="120">
    <w:abstractNumId w:val="203544"/>
  </w:num>
  <w:num w:numId="121">
    <w:abstractNumId w:val="203545"/>
  </w:num>
  <w:num w:numId="122">
    <w:abstractNumId w:val="203546"/>
  </w:num>
  <w:num w:numId="123">
    <w:abstractNumId w:val="203547"/>
  </w:num>
  <w:num w:numId="124">
    <w:abstractNumId w:val="203548"/>
  </w:num>
  <w:num w:numId="125">
    <w:abstractNumId w:val="203549"/>
  </w:num>
  <w:num w:numId="126">
    <w:abstractNumId w:val="203550"/>
  </w:num>
  <w:num w:numId="127">
    <w:abstractNumId w:val="203551"/>
  </w:num>
  <w:num w:numId="128">
    <w:abstractNumId w:val="203552"/>
  </w:num>
  <w:num w:numId="129">
    <w:abstractNumId w:val="203553"/>
  </w:num>
  <w:num w:numId="130">
    <w:abstractNumId w:val="203554"/>
  </w:num>
  <w:num w:numId="131">
    <w:abstractNumId w:val="203555"/>
  </w:num>
  <w:num w:numId="132">
    <w:abstractNumId w:val="203556"/>
  </w:num>
  <w:num w:numId="133">
    <w:abstractNumId w:val="203557"/>
  </w:num>
  <w:num w:numId="134">
    <w:abstractNumId w:val="203558"/>
  </w:num>
  <w:num w:numId="135">
    <w:abstractNumId w:val="203559"/>
  </w:num>
  <w:num w:numId="136">
    <w:abstractNumId w:val="203560"/>
  </w:num>
  <w:num w:numId="137">
    <w:abstractNumId w:val="203561"/>
  </w:num>
  <w:num w:numId="138">
    <w:abstractNumId w:val="203562"/>
  </w:num>
  <w:num w:numId="139">
    <w:abstractNumId w:val="203563"/>
  </w:num>
  <w:num w:numId="140">
    <w:abstractNumId w:val="203564"/>
  </w:num>
  <w:num w:numId="141">
    <w:abstractNumId w:val="203565"/>
  </w:num>
  <w:num w:numId="142">
    <w:abstractNumId w:val="203566"/>
  </w:num>
  <w:num w:numId="143">
    <w:abstractNumId w:val="203567"/>
  </w:num>
  <w:num w:numId="144">
    <w:abstractNumId w:val="203568"/>
  </w:num>
  <w:num w:numId="145">
    <w:abstractNumId w:val="203569"/>
  </w:num>
  <w:num w:numId="146">
    <w:abstractNumId w:val="203570"/>
  </w:num>
  <w:num w:numId="147">
    <w:abstractNumId w:val="203571"/>
  </w:num>
  <w:num w:numId="148">
    <w:abstractNumId w:val="203572"/>
  </w:num>
  <w:num w:numId="149">
    <w:abstractNumId w:val="203573"/>
  </w:num>
  <w:num w:numId="150">
    <w:abstractNumId w:val="203574"/>
  </w:num>
  <w:num w:numId="151">
    <w:abstractNumId w:val="203575"/>
  </w:num>
  <w:num w:numId="152">
    <w:abstractNumId w:val="203576"/>
  </w:num>
  <w:num w:numId="153">
    <w:abstractNumId w:val="203577"/>
  </w:num>
  <w:num w:numId="154">
    <w:abstractNumId w:val="203578"/>
  </w:num>
  <w:num w:numId="155">
    <w:abstractNumId w:val="203579"/>
  </w:num>
  <w:num w:numId="156">
    <w:abstractNumId w:val="203580"/>
  </w:num>
  <w:num w:numId="157">
    <w:abstractNumId w:val="203581"/>
  </w:num>
  <w:num w:numId="158">
    <w:abstractNumId w:val="203582"/>
  </w:num>
  <w:num w:numId="159">
    <w:abstractNumId w:val="203583"/>
  </w:num>
  <w:num w:numId="160">
    <w:abstractNumId w:val="203584"/>
  </w:num>
  <w:num w:numId="161">
    <w:abstractNumId w:val="203585"/>
  </w:num>
  <w:num w:numId="162">
    <w:abstractNumId w:val="203586"/>
  </w:num>
  <w:num w:numId="163">
    <w:abstractNumId w:val="203587"/>
  </w:num>
  <w:num w:numId="164">
    <w:abstractNumId w:val="203588"/>
  </w:num>
  <w:num w:numId="165">
    <w:abstractNumId w:val="203589"/>
  </w:num>
  <w:num w:numId="166">
    <w:abstractNumId w:val="203590"/>
  </w:num>
  <w:num w:numId="167">
    <w:abstractNumId w:val="203591"/>
  </w:num>
  <w:num w:numId="168">
    <w:abstractNumId w:val="203592"/>
  </w:num>
  <w:num w:numId="169">
    <w:abstractNumId w:val="203593"/>
  </w:num>
  <w:num w:numId="170">
    <w:abstractNumId w:val="203594"/>
  </w:num>
  <w:num w:numId="171">
    <w:abstractNumId w:val="203595"/>
  </w:num>
  <w:num w:numId="172">
    <w:abstractNumId w:val="203596"/>
  </w:num>
  <w:num w:numId="173">
    <w:abstractNumId w:val="203597"/>
  </w:num>
  <w:num w:numId="174">
    <w:abstractNumId w:val="203598"/>
  </w:num>
  <w:num w:numId="175">
    <w:abstractNumId w:val="203599"/>
  </w:num>
  <w:num w:numId="176">
    <w:abstractNumId w:val="203600"/>
  </w:num>
  <w:num w:numId="177">
    <w:abstractNumId w:val="203601"/>
  </w:num>
  <w:num w:numId="178">
    <w:abstractNumId w:val="203602"/>
  </w:num>
  <w:num w:numId="179">
    <w:abstractNumId w:val="203603"/>
  </w:num>
  <w:num w:numId="180">
    <w:abstractNumId w:val="203604"/>
  </w:num>
  <w:num w:numId="181">
    <w:abstractNumId w:val="203605"/>
  </w:num>
  <w:num w:numId="182">
    <w:abstractNumId w:val="203606"/>
  </w:num>
  <w:num w:numId="183">
    <w:abstractNumId w:val="203607"/>
  </w:num>
  <w:num w:numId="184">
    <w:abstractNumId w:val="203608"/>
  </w:num>
  <w:num w:numId="185">
    <w:abstractNumId w:val="203609"/>
  </w:num>
  <w:num w:numId="186">
    <w:abstractNumId w:val="203610"/>
  </w:num>
  <w:num w:numId="187">
    <w:abstractNumId w:val="203611"/>
  </w:num>
  <w:num w:numId="188">
    <w:abstractNumId w:val="203612"/>
  </w:num>
  <w:num w:numId="189">
    <w:abstractNumId w:val="203613"/>
  </w:num>
  <w:num w:numId="190">
    <w:abstractNumId w:val="203614"/>
  </w:num>
  <w:num w:numId="191">
    <w:abstractNumId w:val="203615"/>
  </w:num>
  <w:num w:numId="192">
    <w:abstractNumId w:val="203616"/>
  </w:num>
  <w:num w:numId="193">
    <w:abstractNumId w:val="203617"/>
  </w:num>
  <w:num w:numId="194">
    <w:abstractNumId w:val="203618"/>
  </w:num>
  <w:num w:numId="195">
    <w:abstractNumId w:val="203619"/>
  </w:num>
  <w:num w:numId="196">
    <w:abstractNumId w:val="203620"/>
  </w:num>
  <w:num w:numId="197">
    <w:abstractNumId w:val="203621"/>
  </w:num>
  <w:num w:numId="198">
    <w:abstractNumId w:val="203622"/>
  </w:num>
  <w:num w:numId="199">
    <w:abstractNumId w:val="203623"/>
  </w:num>
  <w:num w:numId="200">
    <w:abstractNumId w:val="203624"/>
  </w:num>
  <w:num w:numId="201">
    <w:abstractNumId w:val="203625"/>
  </w:num>
  <w:num w:numId="202">
    <w:abstractNumId w:val="203626"/>
  </w:num>
  <w:num w:numId="203">
    <w:abstractNumId w:val="203627"/>
  </w:num>
  <w:num w:numId="204">
    <w:abstractNumId w:val="203628"/>
  </w:num>
  <w:num w:numId="205">
    <w:abstractNumId w:val="203629"/>
  </w:num>
  <w:num w:numId="206">
    <w:abstractNumId w:val="203630"/>
  </w:num>
  <w:num w:numId="207">
    <w:abstractNumId w:val="203631"/>
  </w:num>
  <w:num w:numId="208">
    <w:abstractNumId w:val="203632"/>
  </w:num>
  <w:num w:numId="209">
    <w:abstractNumId w:val="203633"/>
  </w:num>
  <w:num w:numId="210">
    <w:abstractNumId w:val="203634"/>
  </w:num>
  <w:num w:numId="211">
    <w:abstractNumId w:val="203635"/>
  </w:num>
  <w:num w:numId="212">
    <w:abstractNumId w:val="203636"/>
  </w:num>
  <w:num w:numId="213">
    <w:abstractNumId w:val="203637"/>
  </w:num>
  <w:num w:numId="214">
    <w:abstractNumId w:val="203638"/>
  </w:num>
  <w:num w:numId="215">
    <w:abstractNumId w:val="203639"/>
  </w:num>
  <w:num w:numId="216">
    <w:abstractNumId w:val="203640"/>
  </w:num>
  <w:num w:numId="217">
    <w:abstractNumId w:val="203641"/>
  </w:num>
  <w:num w:numId="218">
    <w:abstractNumId w:val="203642"/>
  </w:num>
  <w:num w:numId="219">
    <w:abstractNumId w:val="203643"/>
  </w:num>
  <w:num w:numId="220">
    <w:abstractNumId w:val="203644"/>
  </w:num>
  <w:num w:numId="221">
    <w:abstractNumId w:val="203645"/>
  </w:num>
  <w:num w:numId="222">
    <w:abstractNumId w:val="203646"/>
  </w:num>
  <w:num w:numId="223">
    <w:abstractNumId w:val="203647"/>
  </w:num>
  <w:num w:numId="224">
    <w:abstractNumId w:val="203648"/>
  </w:num>
  <w:num w:numId="225">
    <w:abstractNumId w:val="203649"/>
  </w:num>
  <w:num w:numId="226">
    <w:abstractNumId w:val="203650"/>
  </w:num>
  <w:num w:numId="227">
    <w:abstractNumId w:val="203651"/>
  </w:num>
  <w:num w:numId="228">
    <w:abstractNumId w:val="203652"/>
  </w:num>
  <w:num w:numId="229">
    <w:abstractNumId w:val="203653"/>
  </w:num>
  <w:num w:numId="230">
    <w:abstractNumId w:val="20365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www.joinquant.com/help/api/help#initialize" TargetMode="External" Type="http://schemas.openxmlformats.org/officeDocument/2006/relationships/hyperlink"/><Relationship Id="rId100" Target="https://www.joinquant.com/view/vip/charge" TargetMode="External" Type="http://schemas.openxmlformats.org/officeDocument/2006/relationships/hyperlink"/><Relationship Id="rId101" Target="https://www.joinquant.com/view/credits/detail/29813a02eba325bdcf65903d705ca832" TargetMode="External" Type="http://schemas.openxmlformats.org/officeDocument/2006/relationships/hyperlink"/><Relationship Id="rId102" Target="https://www.joinquant.com/help/api/help#use_real_price" TargetMode="External" Type="http://schemas.openxmlformats.org/officeDocument/2006/relationships/hyperlink"/><Relationship Id="rId103" Target="https://www.joinquant.com/view/community/detail/3c7c9e987e011d531cf81222c83f7925" TargetMode="External" Type="http://schemas.openxmlformats.org/officeDocument/2006/relationships/hyperlink"/><Relationship Id="rId104" Target="https://www.joinquant.com/post/15352" TargetMode="External" Type="http://schemas.openxmlformats.org/officeDocument/2006/relationships/hyperlink"/><Relationship Id="rId105" Target="https://www.joinquant.com/view/community/detail/da9fcadd00b27dcf92dca2a2999a0309?type=1" TargetMode="External" Type="http://schemas.openxmlformats.org/officeDocument/2006/relationships/hyperlink"/><Relationship Id="rId106" Target="embeddings/Microsoft_Excel_Worksheet2.xlsx" Type="http://schemas.openxmlformats.org/officeDocument/2006/relationships/package"/><Relationship Id="rId107" Target="media/image14.png" Type="http://schemas.openxmlformats.org/officeDocument/2006/relationships/image"/><Relationship Id="rId108" Target="embeddings/Microsoft_Excel_Worksheet3.xlsx" Type="http://schemas.openxmlformats.org/officeDocument/2006/relationships/package"/><Relationship Id="rId109" Target="media/image15.png" Type="http://schemas.openxmlformats.org/officeDocument/2006/relationships/image"/><Relationship Id="rId11" Target="https://www.joinquant.com/help/api/help#order-method" TargetMode="External" Type="http://schemas.openxmlformats.org/officeDocument/2006/relationships/hyperlink"/><Relationship Id="rId110" Target="header1.xml" Type="http://schemas.openxmlformats.org/officeDocument/2006/relationships/header"/><Relationship Id="rId12" Target="https://www.joinquant.com/help/api/help#write_file" TargetMode="External" Type="http://schemas.openxmlformats.org/officeDocument/2006/relationships/hyperlink"/><Relationship Id="rId13" Target="https://www.joinquant.com/help/api/help#read_file" TargetMode="External" Type="http://schemas.openxmlformats.org/officeDocument/2006/relationships/hyperlink"/><Relationship Id="rId14" Target="https://www.joinquant.com/help/api/help?name=Stock#%E8%8E%B7%E5%8F%96%E8%82%A1%E7%A5%A8%E6%95%B0%E6%8D%AE" TargetMode="External" Type="http://schemas.openxmlformats.org/officeDocument/2006/relationships/hyperlink"/><Relationship Id="rId15" Target="https://www.joinquant.com/help/api/help?name=Stock#%E8%8E%B7%E5%8F%96%E5%8D%95%E5%AD%A3%E5%BA%A6%E5%B9%B4%E5%BA%A6%E8%B4%A2%E5%8A%A1%E6%95%B0%E6%8D%AE" TargetMode="External" Type="http://schemas.openxmlformats.org/officeDocument/2006/relationships/hyperlink"/><Relationship Id="rId16" Target="https://www.joinquant.com/help/api/help?name=Stock#%E4%B8%8A%E5%B8%82%E5%85%AC%E5%8F%B8%E6%A6%82%E5%86%B5" TargetMode="External" Type="http://schemas.openxmlformats.org/officeDocument/2006/relationships/hyperlink"/><Relationship Id="rId17" Target="https://www.joinquant.com/help/api/help?name=Stock#%E8%8E%B7%E5%8F%96%E8%9E%8D%E8%B5%84%E8%9E%8D%E5%88%B8%E6%A0%87%E7%9A%84%E5%88%97%E8%A1%A8" TargetMode="External" Type="http://schemas.openxmlformats.org/officeDocument/2006/relationships/hyperlink"/><Relationship Id="rId18" Target="https://www.joinquant.com/help/api/help?name=fund" TargetMode="External" Type="http://schemas.openxmlformats.org/officeDocument/2006/relationships/hyperlink"/><Relationship Id="rId19" Target="https://www.joinquant.com/help/api/help?name=Future" TargetMode="External" Type="http://schemas.openxmlformats.org/officeDocument/2006/relationships/hyperlink"/><Relationship Id="rId2" Target="styles.xml" Type="http://schemas.openxmlformats.org/officeDocument/2006/relationships/styles"/><Relationship Id="rId20" Target="https://www.joinquant.com/help/api/help?name=index" TargetMode="External" Type="http://schemas.openxmlformats.org/officeDocument/2006/relationships/hyperlink"/><Relationship Id="rId21" Target="https://www.joinquant.com/help/api/help#get_index_stocks" TargetMode="External" Type="http://schemas.openxmlformats.org/officeDocument/2006/relationships/hyperlink"/><Relationship Id="rId22" Target="https://www.joinquant.com/help/api/help#get_industry_stocks" TargetMode="External" Type="http://schemas.openxmlformats.org/officeDocument/2006/relationships/hyperlink"/><Relationship Id="rId23" Target="https://www.joinquant.com/help/api/help#get_concept_stocks" TargetMode="External" Type="http://schemas.openxmlformats.org/officeDocument/2006/relationships/hyperlink"/><Relationship Id="rId24" Target="https://www.joinquant.com/view/community/detail/6797d703ee45325b51079374439b1ca5" TargetMode="External" Type="http://schemas.openxmlformats.org/officeDocument/2006/relationships/hyperlink"/><Relationship Id="rId25" Target="media/image2.png" Type="http://schemas.openxmlformats.org/officeDocument/2006/relationships/image"/><Relationship Id="rId26" Target="media/image3.png" Type="http://schemas.openxmlformats.org/officeDocument/2006/relationships/image"/><Relationship Id="rId27" Target="https://www.joinquant.com/help/api/help#alg_frame" TargetMode="External" Type="http://schemas.openxmlformats.org/officeDocument/2006/relationships/hyperlink"/><Relationship Id="rId28" Target="media/image4.png" Type="http://schemas.openxmlformats.org/officeDocument/2006/relationships/image"/><Relationship Id="rId29" Target="media/image5.png" Type="http://schemas.openxmlformats.org/officeDocument/2006/relationships/image"/><Relationship Id="rId3" Target="footer1.xml" Type="http://schemas.openxmlformats.org/officeDocument/2006/relationships/footer"/><Relationship Id="rId30" Target="media/image6.png" Type="http://schemas.openxmlformats.org/officeDocument/2006/relationships/image"/><Relationship Id="rId31" Target="https://www.joinquant.com/help/api/help?name=api#%E7%AD%96%E7%95%A5%E7%A8%8B%E5%BA%8F%E6%9E%B6%E6%9E%84%E2%99%A6" TargetMode="External" Type="http://schemas.openxmlformats.org/officeDocument/2006/relationships/hyperlink"/><Relationship Id="rId32" Target="https://www.joinquant.com/help/api/help#run_monthly" TargetMode="External" Type="http://schemas.openxmlformats.org/officeDocument/2006/relationships/hyperlink"/><Relationship Id="rId33" Target="https://www.joinquant.com/help/api/help#run_weekly" TargetMode="External" Type="http://schemas.openxmlformats.org/officeDocument/2006/relationships/hyperlink"/><Relationship Id="rId34" Target="https://www.joinquant.com/help/api/help#run_daily" TargetMode="External" Type="http://schemas.openxmlformats.org/officeDocument/2006/relationships/hyperlink"/><Relationship Id="rId35" Target="https://www.joinquant.com/help/api/help#before_trading_start" TargetMode="External" Type="http://schemas.openxmlformats.org/officeDocument/2006/relationships/hyperlink"/><Relationship Id="rId36" Target="https://www.joinquant.com/help/api/help#run_monthly" TargetMode="External" Type="http://schemas.openxmlformats.org/officeDocument/2006/relationships/hyperlink"/><Relationship Id="rId37" Target="https://www.joinquant.com/help/api/help#run_weekly" TargetMode="External" Type="http://schemas.openxmlformats.org/officeDocument/2006/relationships/hyperlink"/><Relationship Id="rId38" Target="https://www.joinquant.com/help/api/help#run_daily" TargetMode="External" Type="http://schemas.openxmlformats.org/officeDocument/2006/relationships/hyperlink"/><Relationship Id="rId39" Target="https://www.joinquant.com/help/api/help#handle_data" TargetMode="External" Type="http://schemas.openxmlformats.org/officeDocument/2006/relationships/hyperlink"/><Relationship Id="rId4" Target="https://www.joinquant.com/research" TargetMode="External" Type="http://schemas.openxmlformats.org/officeDocument/2006/relationships/hyperlink"/><Relationship Id="rId40" Target="https://www.joinquant.com/help/api/help#data" TargetMode="External" Type="http://schemas.openxmlformats.org/officeDocument/2006/relationships/hyperlink"/><Relationship Id="rId41" Target="https://www.joinquant.com/help/api/help#data" TargetMode="External" Type="http://schemas.openxmlformats.org/officeDocument/2006/relationships/hyperlink"/><Relationship Id="rId42" Target="https://www.joinquant.com/help/api/help#data" TargetMode="External" Type="http://schemas.openxmlformats.org/officeDocument/2006/relationships/hyperlink"/><Relationship Id="rId43" Target="https://www.joinquant.com/help/api/help#data" TargetMode="External" Type="http://schemas.openxmlformats.org/officeDocument/2006/relationships/hyperlink"/><Relationship Id="rId44" Target="https://www.joinquant.com/help/api/help#run_monthly" TargetMode="External" Type="http://schemas.openxmlformats.org/officeDocument/2006/relationships/hyperlink"/><Relationship Id="rId45" Target="https://www.joinquant.com/help/api/help#run_weekly" TargetMode="External" Type="http://schemas.openxmlformats.org/officeDocument/2006/relationships/hyperlink"/><Relationship Id="rId46" Target="https://www.joinquant.com/help/api/help#run_daily" TargetMode="External" Type="http://schemas.openxmlformats.org/officeDocument/2006/relationships/hyperlink"/><Relationship Id="rId47" Target="https://www.joinquant.com/help/api/help#after_trading_end" TargetMode="External" Type="http://schemas.openxmlformats.org/officeDocument/2006/relationships/hyperlink"/><Relationship Id="rId48" Target="https://www.joinquant.com/help/api/help#before_trading_start" TargetMode="External" Type="http://schemas.openxmlformats.org/officeDocument/2006/relationships/hyperlink"/><Relationship Id="rId49" Target="https://www.joinquant.com/help/api/help#handle_data" TargetMode="External" Type="http://schemas.openxmlformats.org/officeDocument/2006/relationships/hyperlink"/><Relationship Id="rId5" Target="https://www.joinquant.com/help/api/help?name=faq" TargetMode="External" Type="http://schemas.openxmlformats.org/officeDocument/2006/relationships/hyperlink"/><Relationship Id="rId50" Target="https://www.joinquant.com/help/api/help#after_trading_end" TargetMode="External" Type="http://schemas.openxmlformats.org/officeDocument/2006/relationships/hyperlink"/><Relationship Id="rId51" Target="https://www.joinquant.com/help/api/help#Context" TargetMode="External" Type="http://schemas.openxmlformats.org/officeDocument/2006/relationships/hyperlink"/><Relationship Id="rId52" Target="https://www.joinquant.com/help/api/help#data" TargetMode="External" Type="http://schemas.openxmlformats.org/officeDocument/2006/relationships/hyperlink"/><Relationship Id="rId53" Target="https://www.joinquant.com/help/api/help#history" TargetMode="External" Type="http://schemas.openxmlformats.org/officeDocument/2006/relationships/hyperlink"/><Relationship Id="rId54" Target="embeddings/Microsoft_Excel_Worksheet1.xlsx" Type="http://schemas.openxmlformats.org/officeDocument/2006/relationships/package"/><Relationship Id="rId55" Target="media/image7.png" Type="http://schemas.openxmlformats.org/officeDocument/2006/relationships/image"/><Relationship Id="rId56" Target="media/image8.png" Type="http://schemas.openxmlformats.org/officeDocument/2006/relationships/image"/><Relationship Id="rId57" Target="https://www.joinquant.com/help/api/help#set_slippage" TargetMode="External" Type="http://schemas.openxmlformats.org/officeDocument/2006/relationships/hyperlink"/><Relationship Id="rId58" Target="https://www.joinquant.com/help/api/help#set_order_cost" TargetMode="External" Type="http://schemas.openxmlformats.org/officeDocument/2006/relationships/hyperlink"/><Relationship Id="rId59" Target="https://www.joinquant.com/view/community/detail/0b6bcc1ada0ab018f2d7dc2a342cf4ca" TargetMode="External" Type="http://schemas.openxmlformats.org/officeDocument/2006/relationships/hyperlink"/><Relationship Id="rId6" Target="https://www.joinquant.com/view/community/detail/6cab768c4b2fa259385a45927089367f" TargetMode="External" Type="http://schemas.openxmlformats.org/officeDocument/2006/relationships/hyperlink"/><Relationship Id="rId60" Target="https://www.joinquant.com/help/api/help#set_benchmark" TargetMode="External" Type="http://schemas.openxmlformats.org/officeDocument/2006/relationships/hyperlink"/><Relationship Id="rId61" Target="https://www.joinquant.com/help/api/help?name=faq#%E5%A6%82%E4%BD%95%E8%BF%9B%E8%A1%8C%E6%A8%A1%E6%8B%9F%E4%BA%A4%E6%98%93%EF%BC%9F" TargetMode="External" Type="http://schemas.openxmlformats.org/officeDocument/2006/relationships/hyperlink"/><Relationship Id="rId62" Target="https://www.joinquant.com/help/api/help#g" TargetMode="External" Type="http://schemas.openxmlformats.org/officeDocument/2006/relationships/hyperlink"/><Relationship Id="rId63" Target="https://www.joinquant.com/help/api/help#Context" TargetMode="External" Type="http://schemas.openxmlformats.org/officeDocument/2006/relationships/hyperlink"/><Relationship Id="rId64" Target="https://www.joinquant.com/help/api/help#g" TargetMode="External" Type="http://schemas.openxmlformats.org/officeDocument/2006/relationships/hyperlink"/><Relationship Id="rId65" Target="https://www.joinquant.com/help/api/help#g" TargetMode="External" Type="http://schemas.openxmlformats.org/officeDocument/2006/relationships/hyperlink"/><Relationship Id="rId66" Target="https://www.joinquant.com/help/api/help#Context" TargetMode="External" Type="http://schemas.openxmlformats.org/officeDocument/2006/relationships/hyperlink"/><Relationship Id="rId67" Target="https://www.joinquant.com/help/api/help#process_initialize" TargetMode="External" Type="http://schemas.openxmlformats.org/officeDocument/2006/relationships/hyperlink"/><Relationship Id="rId68" Target="https://www.joinquant.com/help/api/help#initialize" TargetMode="External" Type="http://schemas.openxmlformats.org/officeDocument/2006/relationships/hyperlink"/><Relationship Id="rId69" Target="https://www.joinquant.com/help/api/help#initialize" TargetMode="External" Type="http://schemas.openxmlformats.org/officeDocument/2006/relationships/hyperlink"/><Relationship Id="rId7" Target="https://www.joinquant.com/community" TargetMode="External" Type="http://schemas.openxmlformats.org/officeDocument/2006/relationships/hyperlink"/><Relationship Id="rId70" Target="https://www.joinquant.com/help/api/help#initialize" TargetMode="External" Type="http://schemas.openxmlformats.org/officeDocument/2006/relationships/hyperlink"/><Relationship Id="rId71" Target="https://www.joinquant.com/help/api/help#initialize" TargetMode="External" Type="http://schemas.openxmlformats.org/officeDocument/2006/relationships/hyperlink"/><Relationship Id="rId72" Target="https://www.joinquant.com/help/api/help#after_code_changed" TargetMode="External" Type="http://schemas.openxmlformats.org/officeDocument/2006/relationships/hyperlink"/><Relationship Id="rId73" Target="https://www.joinquant.com/help/api/help#after_code_changed" TargetMode="External" Type="http://schemas.openxmlformats.org/officeDocument/2006/relationships/hyperlink"/><Relationship Id="rId74" Target="https://www.joinquant.com/view/community/detail/14050" TargetMode="External" Type="http://schemas.openxmlformats.org/officeDocument/2006/relationships/hyperlink"/><Relationship Id="rId75" Target="https://www.joinquant.com/help/api/help#use_real_price" TargetMode="External" Type="http://schemas.openxmlformats.org/officeDocument/2006/relationships/hyperlink"/><Relationship Id="rId76" Target="https://www.joinquant.com/view/community/detail/0fd4ee9e029c205c4beb48547c582f00?type=1" TargetMode="External" Type="http://schemas.openxmlformats.org/officeDocument/2006/relationships/hyperlink"/><Relationship Id="rId77" Target="media/image9.png" Type="http://schemas.openxmlformats.org/officeDocument/2006/relationships/image"/><Relationship Id="rId78" Target="media/image10.png" Type="http://schemas.openxmlformats.org/officeDocument/2006/relationships/image"/><Relationship Id="rId79" Target="media/image11.png" Type="http://schemas.openxmlformats.org/officeDocument/2006/relationships/image"/><Relationship Id="rId8" Target="media/image1.png" Type="http://schemas.openxmlformats.org/officeDocument/2006/relationships/image"/><Relationship Id="rId80" Target="media/image12.png" Type="http://schemas.openxmlformats.org/officeDocument/2006/relationships/image"/><Relationship Id="rId81" Target="media/image13.png" Type="http://schemas.openxmlformats.org/officeDocument/2006/relationships/image"/><Relationship Id="rId82" Target="https://www.joinquant.com/help/api/help#name:optimizer" TargetMode="External" Type="http://schemas.openxmlformats.org/officeDocument/2006/relationships/hyperlink"/><Relationship Id="rId83" Target="https://docs.python.org/2/library/datetime.html#datetime.date" TargetMode="External" Type="http://schemas.openxmlformats.org/officeDocument/2006/relationships/hyperlink"/><Relationship Id="rId84" Target="https://www.joinquant.com/help/api/help#fencang" TargetMode="External" Type="http://schemas.openxmlformats.org/officeDocument/2006/relationships/hyperlink"/><Relationship Id="rId85" Target="https://www.joinquant.com/data?f=home&amp;m=memu" TargetMode="External" Type="http://schemas.openxmlformats.org/officeDocument/2006/relationships/hyperlink"/><Relationship Id="rId86" Target="https://www.joinquant.com/help/api/help?name=JQData#JQData%E6%8F%90%E4%BE%9B%E5%93%AA%E4%BA%9B%E6%95%B0%E6%8D%AE%E5%8F%8A%E6%95%B0%E6%8D%AE%E6%9B%B4%E6%96%B0%E9%A2%91%E7%8E%87" TargetMode="External" Type="http://schemas.openxmlformats.org/officeDocument/2006/relationships/hyperlink"/><Relationship Id="rId87" Target="https://www.joinquant.com/view/community/detail/5e4d0eac18d9ddb774452a7eb8f58bd4" TargetMode="External" Type="http://schemas.openxmlformats.org/officeDocument/2006/relationships/hyperlink"/><Relationship Id="rId88" Target="https://www.joinquant.com/view/community/detail/881bec72247daa104540d7baaf70d70d" TargetMode="External" Type="http://schemas.openxmlformats.org/officeDocument/2006/relationships/hyperlink"/><Relationship Id="rId89" Target="https://www.joinquant.com/view/community/detail/433d0e9ed9fed11fc9f7772eab8d9376" TargetMode="External" Type="http://schemas.openxmlformats.org/officeDocument/2006/relationships/hyperlink"/><Relationship Id="rId9" Target="numbering.xml" Type="http://schemas.openxmlformats.org/officeDocument/2006/relationships/numbering"/><Relationship Id="rId90" Target="https://www.joinquant.com/view/community/detail/1226a48b1f9b7bd90dc3516feea8b5cc?type=2" TargetMode="External" Type="http://schemas.openxmlformats.org/officeDocument/2006/relationships/hyperlink"/><Relationship Id="rId91" Target="https://www.joinquant.com/view/community/detail/257fd6954ae160e2011fd4d206e37588" TargetMode="External" Type="http://schemas.openxmlformats.org/officeDocument/2006/relationships/hyperlink"/><Relationship Id="rId92" Target="https://www.joinquant.com/view/community/detail/01b452d8a0c3fb3a7d83ef9c072134cc" TargetMode="External" Type="http://schemas.openxmlformats.org/officeDocument/2006/relationships/hyperlink"/><Relationship Id="rId93" Target="https://www.joinquant.com/view/community/detail/9e5eca0d1005952dfba1ee13af0dbb45" TargetMode="External" Type="http://schemas.openxmlformats.org/officeDocument/2006/relationships/hyperlink"/><Relationship Id="rId94" Target="https://www.joinquant.com/view/community/detail/b25a17821b24d57faa6ec0291c51af09" TargetMode="External" Type="http://schemas.openxmlformats.org/officeDocument/2006/relationships/hyperlink"/><Relationship Id="rId95" Target="https://www.joinquant.com/view/community/detail/881bec72247daa104540d7baaf70d70d" TargetMode="External" Type="http://schemas.openxmlformats.org/officeDocument/2006/relationships/hyperlink"/><Relationship Id="rId96" Target="https://www.joinquant.com/view/community/detail/90f9f2600ed92f9f59b450d772ee8559" TargetMode="External" Type="http://schemas.openxmlformats.org/officeDocument/2006/relationships/hyperlink"/><Relationship Id="rId97" Target="https://www.joinquant.com/view/community/detail/f05b9cbce3612bb2fad36740551d28be" TargetMode="External" Type="http://schemas.openxmlformats.org/officeDocument/2006/relationships/hyperlink"/><Relationship Id="rId98" Target="https://www.joinquant.com/help/api/help#task_func" TargetMode="External" Type="http://schemas.openxmlformats.org/officeDocument/2006/relationships/hyperlink"/><Relationship Id="rId99" Target="https://www.joinquant.com/view/community/detail/3c7c9e987e011d531cf81222c83f7925"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2026-01-28T00:56:46Z</dcterms:created>
  <dc:creator>Apache POI</dc:creator>
</cp:coreProperties>
</file>