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КОД ПАЦІЄНТА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САП042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         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С</w:t>
      </w:r>
      <w:r w:rsidDel="00000000" w:rsidR="00000000" w:rsidRPr="00000000">
        <w:rPr>
          <w:b w:val="1"/>
          <w:sz w:val="20"/>
          <w:szCs w:val="20"/>
          <w:rtl w:val="0"/>
        </w:rPr>
        <w:t xml:space="preserve">ТАТЬ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Ч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       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</w:t>
      </w:r>
      <w:r w:rsidDel="00000000" w:rsidR="00000000" w:rsidRPr="00000000">
        <w:rPr>
          <w:b w:val="1"/>
          <w:sz w:val="20"/>
          <w:szCs w:val="20"/>
          <w:rtl w:val="0"/>
        </w:rPr>
        <w:t xml:space="preserve">ІК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76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 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 М</w:t>
      </w:r>
      <w:r w:rsidDel="00000000" w:rsidR="00000000" w:rsidRPr="00000000">
        <w:rPr>
          <w:b w:val="1"/>
          <w:sz w:val="20"/>
          <w:szCs w:val="20"/>
          <w:rtl w:val="0"/>
        </w:rPr>
        <w:t xml:space="preserve">ІСТО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КИЇВ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4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9"/>
        <w:tblGridChange w:id="0">
          <w:tblGrid>
            <w:gridCol w:w="949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ind w:left="75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ІСТОРІЯ ПАЦІЄНТА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left="75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Додаткова інформація про особу пацієнта. У чому була особливість використання Стетофону для цього пацієнта? Чи допоміг Стетофон обстежити цього пацієнта краще (швидше, зручніше, знайти важливі симптоми, тощо)? </w:t>
            </w:r>
          </w:p>
          <w:p w:rsidR="00000000" w:rsidDel="00000000" w:rsidP="00000000" w:rsidRDefault="00000000" w:rsidRPr="00000000" w14:paraId="00000006">
            <w:pPr>
              <w:widowControl w:val="0"/>
              <w:ind w:left="75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66" w:lineRule="auto"/>
              <w:ind w:left="61" w:right="8" w:firstLine="12.00000000000000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поліклініки Університетської клініки НМУ ім. О.О. Богомольця звернувся пацієнт у віці 76 років, пенсіонер.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 час детального аналізу історії пацієнта було виявлен такі попердньо встановлені пацієнту діагнози: ішемічна хвороба серця, стенокардія напруги, дифузний кардіосклероз, гіпертонічна хвороба 3 стадія,  серцева недостатність 2А ступеня, цереброваскулярна хвороба, дисциркуляторна енцефалопатія 3 стадія, хронічний ерозивний гастрит, жовчно-кам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′яна хвороба, хронічний калькульозний холецистит. Разом з цим, пацієнт з 2015 року має ГПМК 2 ступінь, ризик 3. 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Причиною звернення до Університетської клініки НМУ ім. О.О. Богомольця була необхідність проведення  обстеження серцево-судинної системи. Це обумовлено, у тому числі, і тим, що у пацієнта наявна рецидивуюча багатокамерна післяопераційна вентральна кила, яка обмежує повсякденне життя у вигляді тиску і дискомфорту в животі. Крім того, пацієнт  має періодичну задишку.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 метою діагностики пацієнту було запропоновано провести прослуховування та запис звуків серця із застосуванням медичного виробу Cтетофон. Пацієнту було проведено ехокардіографію.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результатами проведеного аналізу було встановлено, що аортальний, мітральний та трикуспідальний клапан – ущільнені, збільшені порожнини обох передсердь правого шлуночка, гіпертрофія міокарда лівого шлуночка. Разом з цим, виявлено недостатність мітрального клапану 1 стадія, недостатність трикуспідального клапану 1 стадія, скоротлива здатність лівого шлуночка – задовільна фракція виходу 55.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 час аускультації також була виявлена рідка передсердна екстрасистолія 418 за добу. Серед них: парних - 12, ізольованих - 397, а також рідка поліморфна екстрасистолія 113 за добу. Серед яких: парних – 2,  ізольованих - 69.</w:t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результатами діагностики пацієнту рекомендовано провести більш повне обстеження серцево-судинної системи.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vMerge w:val="continue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5"/>
        <w:tblGridChange w:id="0">
          <w:tblGrid>
            <w:gridCol w:w="95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ind w:left="69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ВРАЖЕННЯ ПАЦІЄНТА ВІД ДОСВІДУ РОБОТИ ЗІ СТЕТОФОНОМ?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Загалом, пацієнт не очікував від здійсненого запису із використанням Стетофону будь-якої інформативності для встановлення діагнозу. Однак, після проведеного аналізу пацієнт був приємно здивований результатами.  Йому було цікаво прослухати записаний звук серця.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20" w:line="266" w:lineRule="auto"/>
              <w:ind w:right="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Пацієнт також відзначив, що за допомогою такого застосунку можна зручніше та легше відстежувати показники власного здоров′я. Виявив бажання спробувати застосовувати пристрій і в домашніх умовах. </w:t>
            </w:r>
          </w:p>
        </w:tc>
      </w:tr>
    </w:tbl>
    <w:p w:rsidR="00000000" w:rsidDel="00000000" w:rsidP="00000000" w:rsidRDefault="00000000" w:rsidRPr="00000000" w14:paraId="0000001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417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185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574D76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574D76"/>
    <w:rPr>
      <w:rFonts w:ascii="Times New Roman" w:cs="Times New Roman" w:eastAsia="Times New Roman" w:hAnsi="Times New Roman"/>
      <w:kern w:val="0"/>
      <w:lang w:eastAsia="ru-RU" w:val="ru-RU"/>
    </w:rPr>
  </w:style>
  <w:style w:type="paragraph" w:styleId="a6">
    <w:name w:val="footer"/>
    <w:basedOn w:val="a"/>
    <w:link w:val="a7"/>
    <w:uiPriority w:val="99"/>
    <w:unhideWhenUsed w:val="1"/>
    <w:rsid w:val="00574D76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574D76"/>
    <w:rPr>
      <w:rFonts w:ascii="Times New Roman" w:cs="Times New Roman" w:eastAsia="Times New Roman" w:hAnsi="Times New Roman"/>
      <w:kern w:val="0"/>
      <w:lang w:eastAsia="ru-RU" w:val="ru-RU"/>
    </w:rPr>
  </w:style>
  <w:style w:type="character" w:styleId="a8">
    <w:name w:val="Emphasis"/>
    <w:basedOn w:val="a0"/>
    <w:uiPriority w:val="20"/>
    <w:qFormat w:val="1"/>
    <w:rsid w:val="00AF251E"/>
    <w:rPr>
      <w:i w:val="1"/>
      <w:iCs w:val="1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MXnqq7+O4A/XVRl+wGeMQc+sA==">CgMxLjAyCWguMzBqMHpsbDIJaC4xZm9iOXRlMghoLmdqZGd4czgAciExU281UlJBbnd0TF9DLTgxU1h1LThHdmdQNFc0cFZibzU=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2023-11-15T19:00:00Z</dcterms:created>
  <dc:creator>Лидия Санжаровская</dc:creator>
</cp:coreProperties>
</file>