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color w:val="000000"/>
          <w:sz w:val="20"/>
          <w:szCs w:val="20"/>
          <w:u w:val="single"/>
        </w:rPr>
      </w:pPr>
      <w:bookmarkStart w:colFirst="0" w:colLast="0" w:name="_heading=h.30j0zll" w:id="0"/>
      <w:bookmarkEnd w:id="0"/>
      <w:r w:rsidDel="00000000" w:rsidR="00000000" w:rsidRPr="00000000">
        <w:rPr>
          <w:b w:val="1"/>
          <w:sz w:val="20"/>
          <w:szCs w:val="20"/>
          <w:rtl w:val="0"/>
        </w:rPr>
        <w:t xml:space="preserve">КОД ПАЦІЄНТА</w:t>
      </w:r>
      <w:r w:rsidDel="00000000" w:rsidR="00000000" w:rsidRPr="00000000">
        <w:rPr>
          <w:color w:val="000000"/>
          <w:sz w:val="20"/>
          <w:szCs w:val="20"/>
          <w:rtl w:val="0"/>
        </w:rPr>
        <w:t xml:space="preserve">  </w:t>
      </w:r>
      <w:r w:rsidDel="00000000" w:rsidR="00000000" w:rsidRPr="00000000">
        <w:rPr>
          <w:b w:val="1"/>
          <w:sz w:val="20"/>
          <w:szCs w:val="20"/>
          <w:u w:val="single"/>
          <w:rtl w:val="0"/>
        </w:rPr>
        <w:t xml:space="preserve">САП047</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С</w:t>
      </w:r>
      <w:r w:rsidDel="00000000" w:rsidR="00000000" w:rsidRPr="00000000">
        <w:rPr>
          <w:b w:val="1"/>
          <w:sz w:val="20"/>
          <w:szCs w:val="20"/>
          <w:rtl w:val="0"/>
        </w:rPr>
        <w:t xml:space="preserve">ТАТЬ</w:t>
      </w:r>
      <w:r w:rsidDel="00000000" w:rsidR="00000000" w:rsidRPr="00000000">
        <w:rPr>
          <w:color w:val="000000"/>
          <w:sz w:val="20"/>
          <w:szCs w:val="20"/>
          <w:rtl w:val="0"/>
        </w:rPr>
        <w:t xml:space="preserve">  </w:t>
      </w:r>
      <w:r w:rsidDel="00000000" w:rsidR="00000000" w:rsidRPr="00000000">
        <w:rPr>
          <w:b w:val="1"/>
          <w:color w:val="000000"/>
          <w:sz w:val="20"/>
          <w:szCs w:val="20"/>
          <w:u w:val="single"/>
          <w:rtl w:val="0"/>
        </w:rPr>
        <w:t xml:space="preserve">Ж</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В</w:t>
      </w:r>
      <w:r w:rsidDel="00000000" w:rsidR="00000000" w:rsidRPr="00000000">
        <w:rPr>
          <w:b w:val="1"/>
          <w:sz w:val="20"/>
          <w:szCs w:val="20"/>
          <w:rtl w:val="0"/>
        </w:rPr>
        <w:t xml:space="preserve">ІК</w:t>
      </w:r>
      <w:r w:rsidDel="00000000" w:rsidR="00000000" w:rsidRPr="00000000">
        <w:rPr>
          <w:color w:val="000000"/>
          <w:sz w:val="20"/>
          <w:szCs w:val="20"/>
          <w:rtl w:val="0"/>
        </w:rPr>
        <w:t xml:space="preserve"> </w:t>
      </w:r>
      <w:r w:rsidDel="00000000" w:rsidR="00000000" w:rsidRPr="00000000">
        <w:rPr>
          <w:b w:val="1"/>
          <w:sz w:val="20"/>
          <w:szCs w:val="20"/>
          <w:u w:val="single"/>
          <w:rtl w:val="0"/>
        </w:rPr>
        <w:t xml:space="preserve">18</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 М</w:t>
      </w:r>
      <w:r w:rsidDel="00000000" w:rsidR="00000000" w:rsidRPr="00000000">
        <w:rPr>
          <w:b w:val="1"/>
          <w:sz w:val="20"/>
          <w:szCs w:val="20"/>
          <w:rtl w:val="0"/>
        </w:rPr>
        <w:t xml:space="preserve">ІСТО </w:t>
      </w:r>
      <w:r w:rsidDel="00000000" w:rsidR="00000000" w:rsidRPr="00000000">
        <w:rPr>
          <w:color w:val="000000"/>
          <w:sz w:val="20"/>
          <w:szCs w:val="20"/>
          <w:rtl w:val="0"/>
        </w:rPr>
        <w:t xml:space="preserve"> </w:t>
      </w:r>
      <w:r w:rsidDel="00000000" w:rsidR="00000000" w:rsidRPr="00000000">
        <w:rPr>
          <w:b w:val="1"/>
          <w:color w:val="000000"/>
          <w:sz w:val="20"/>
          <w:szCs w:val="20"/>
          <w:u w:val="single"/>
          <w:rtl w:val="0"/>
        </w:rPr>
        <w:t xml:space="preserve">КИЇВ</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b w:val="1"/>
          <w:color w:val="000000"/>
          <w:sz w:val="20"/>
          <w:szCs w:val="20"/>
        </w:rPr>
      </w:pPr>
      <w:bookmarkStart w:colFirst="0" w:colLast="0" w:name="_heading=h.1fob9te" w:id="1"/>
      <w:bookmarkEnd w:id="1"/>
      <w:r w:rsidDel="00000000" w:rsidR="00000000" w:rsidRPr="00000000">
        <w:rPr>
          <w:rtl w:val="0"/>
        </w:rPr>
      </w:r>
    </w:p>
    <w:tbl>
      <w:tblPr>
        <w:tblStyle w:val="Table1"/>
        <w:tblW w:w="949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9"/>
        <w:tblGridChange w:id="0">
          <w:tblGrid>
            <w:gridCol w:w="9499"/>
          </w:tblGrid>
        </w:tblGridChange>
      </w:tblGrid>
      <w:tr>
        <w:trPr>
          <w:cantSplit w:val="0"/>
          <w:trHeight w:val="405"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ind w:left="75" w:firstLine="0"/>
              <w:jc w:val="center"/>
              <w:rPr>
                <w:i w:val="1"/>
                <w:color w:val="000000"/>
                <w:sz w:val="20"/>
                <w:szCs w:val="20"/>
              </w:rPr>
            </w:pPr>
            <w:r w:rsidDel="00000000" w:rsidR="00000000" w:rsidRPr="00000000">
              <w:rPr>
                <w:b w:val="1"/>
                <w:sz w:val="20"/>
                <w:szCs w:val="20"/>
                <w:rtl w:val="0"/>
              </w:rPr>
              <w:t xml:space="preserve">ІСТОРІЯ ПАЦІЄНТА</w:t>
            </w:r>
            <w:r w:rsidDel="00000000" w:rsidR="00000000" w:rsidRPr="00000000">
              <w:rPr>
                <w:rtl w:val="0"/>
              </w:rPr>
            </w:r>
          </w:p>
        </w:tc>
      </w:tr>
      <w:tr>
        <w:trPr>
          <w:cantSplit w:val="0"/>
          <w:trHeight w:val="465" w:hRule="atLeast"/>
          <w:tblHeader w:val="0"/>
        </w:trPr>
        <w:tc>
          <w:tcPr>
            <w:vMerge w:val="restart"/>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14:paraId="00000005">
            <w:pPr>
              <w:widowControl w:val="0"/>
              <w:spacing w:line="276" w:lineRule="auto"/>
              <w:ind w:left="75" w:firstLine="0"/>
              <w:jc w:val="both"/>
              <w:rPr>
                <w:i w:val="1"/>
                <w:sz w:val="20"/>
                <w:szCs w:val="20"/>
              </w:rPr>
            </w:pPr>
            <w:r w:rsidDel="00000000" w:rsidR="00000000" w:rsidRPr="00000000">
              <w:rPr>
                <w:i w:val="1"/>
                <w:sz w:val="20"/>
                <w:szCs w:val="20"/>
                <w:rtl w:val="0"/>
              </w:rPr>
              <w:t xml:space="preserve">Додаткова інформація про особу пацієнта. У чому була особливість використання Стетофону для цього пацієнта? Чи допоміг Стетофон обстежити цього пацієнта краще (швидше, зручніше, знайти важливі симптоми, тощо)? </w:t>
            </w:r>
          </w:p>
          <w:p w:rsidR="00000000" w:rsidDel="00000000" w:rsidP="00000000" w:rsidRDefault="00000000" w:rsidRPr="00000000" w14:paraId="00000006">
            <w:pPr>
              <w:widowControl w:val="0"/>
              <w:ind w:left="75" w:firstLine="0"/>
              <w:jc w:val="both"/>
              <w:rPr>
                <w:i w:val="1"/>
                <w:sz w:val="20"/>
                <w:szCs w:val="20"/>
              </w:rPr>
            </w:pPr>
            <w:r w:rsidDel="00000000" w:rsidR="00000000" w:rsidRPr="00000000">
              <w:rPr>
                <w:rtl w:val="0"/>
              </w:rPr>
            </w:r>
          </w:p>
          <w:p w:rsidR="00000000" w:rsidDel="00000000" w:rsidP="00000000" w:rsidRDefault="00000000" w:rsidRPr="00000000" w14:paraId="00000007">
            <w:pPr>
              <w:widowControl w:val="0"/>
              <w:spacing w:line="266" w:lineRule="auto"/>
              <w:ind w:left="61" w:right="8" w:firstLine="12.000000000000002"/>
              <w:jc w:val="both"/>
              <w:rPr>
                <w:sz w:val="20"/>
                <w:szCs w:val="20"/>
              </w:rPr>
            </w:pPr>
            <w:r w:rsidDel="00000000" w:rsidR="00000000" w:rsidRPr="00000000">
              <w:rPr>
                <w:rtl w:val="0"/>
              </w:rPr>
            </w:r>
          </w:p>
          <w:p w:rsidR="00000000" w:rsidDel="00000000" w:rsidP="00000000" w:rsidRDefault="00000000" w:rsidRPr="00000000" w14:paraId="00000008">
            <w:pPr>
              <w:spacing w:after="120" w:line="276" w:lineRule="auto"/>
              <w:jc w:val="both"/>
              <w:rPr>
                <w:sz w:val="20"/>
                <w:szCs w:val="20"/>
              </w:rPr>
            </w:pPr>
            <w:r w:rsidDel="00000000" w:rsidR="00000000" w:rsidRPr="00000000">
              <w:rPr>
                <w:sz w:val="20"/>
                <w:szCs w:val="20"/>
                <w:rtl w:val="0"/>
              </w:rPr>
              <w:t xml:space="preserve">До поліклініки Університетської клініки НМУ ім. О.О. Богомольця звернулась пацієнтка у віці 18 років. Причина - необхідність проведення діагностики серцево-судинної системи. </w:t>
            </w:r>
          </w:p>
          <w:p w:rsidR="00000000" w:rsidDel="00000000" w:rsidP="00000000" w:rsidRDefault="00000000" w:rsidRPr="00000000" w14:paraId="00000009">
            <w:pPr>
              <w:spacing w:after="120" w:line="276" w:lineRule="auto"/>
              <w:jc w:val="both"/>
              <w:rPr>
                <w:sz w:val="20"/>
                <w:szCs w:val="20"/>
              </w:rPr>
            </w:pPr>
            <w:r w:rsidDel="00000000" w:rsidR="00000000" w:rsidRPr="00000000">
              <w:rPr>
                <w:sz w:val="20"/>
                <w:szCs w:val="20"/>
                <w:rtl w:val="0"/>
              </w:rPr>
              <w:t xml:space="preserve">У межах діагностики було запропоновано провести запис звуків серця із застосуванням медичного виробу Cтетофон. Була надана загальна інформація про медичний виріб та його функціональні переваги. Пацієнтка зацікавилася, однак, перед проведенням обстеження повідомила, що має занепокоєння щодо можливого впливу на її здоров</w:t>
            </w:r>
            <w:r w:rsidDel="00000000" w:rsidR="00000000" w:rsidRPr="00000000">
              <w:rPr>
                <w:sz w:val="20"/>
                <w:szCs w:val="20"/>
                <w:rtl w:val="0"/>
              </w:rPr>
              <w:t xml:space="preserve">′я шкідливих радіохвиль. </w:t>
            </w:r>
          </w:p>
          <w:p w:rsidR="00000000" w:rsidDel="00000000" w:rsidP="00000000" w:rsidRDefault="00000000" w:rsidRPr="00000000" w14:paraId="0000000A">
            <w:pPr>
              <w:spacing w:after="120" w:line="276" w:lineRule="auto"/>
              <w:jc w:val="both"/>
              <w:rPr>
                <w:sz w:val="20"/>
                <w:szCs w:val="20"/>
              </w:rPr>
            </w:pPr>
            <w:r w:rsidDel="00000000" w:rsidR="00000000" w:rsidRPr="00000000">
              <w:rPr>
                <w:sz w:val="20"/>
                <w:szCs w:val="20"/>
                <w:rtl w:val="0"/>
              </w:rPr>
              <w:t xml:space="preserve">За результатами оцінки ритму серця, зафіксованого за допомогою Стетофону, патологічних змін зафіксовано не було. </w:t>
            </w:r>
          </w:p>
        </w:tc>
      </w:tr>
      <w:tr>
        <w:trPr>
          <w:cantSplit w:val="0"/>
          <w:trHeight w:val="2640" w:hRule="atLeast"/>
          <w:tblHeader w:val="0"/>
        </w:trPr>
        <w:tc>
          <w:tcPr>
            <w:vMerge w:val="continue"/>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tbl>
      <w:tblPr>
        <w:tblStyle w:val="Table2"/>
        <w:tblW w:w="9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5"/>
        <w:tblGridChange w:id="0">
          <w:tblGrid>
            <w:gridCol w:w="9515"/>
          </w:tblGrid>
        </w:tblGridChange>
      </w:tblGrid>
      <w:tr>
        <w:trPr>
          <w:cantSplit w:val="0"/>
          <w:trHeight w:val="345"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100.0" w:type="dxa"/>
              <w:left w:w="100.0" w:type="dxa"/>
              <w:bottom w:w="100.0" w:type="dxa"/>
              <w:right w:w="100.0" w:type="dxa"/>
            </w:tcMar>
          </w:tcPr>
          <w:p w:rsidR="00000000" w:rsidDel="00000000" w:rsidP="00000000" w:rsidRDefault="00000000" w:rsidRPr="00000000" w14:paraId="0000000F">
            <w:pPr>
              <w:widowControl w:val="0"/>
              <w:ind w:left="69" w:firstLine="0"/>
              <w:jc w:val="center"/>
              <w:rPr>
                <w:sz w:val="20"/>
                <w:szCs w:val="20"/>
              </w:rPr>
            </w:pPr>
            <w:r w:rsidDel="00000000" w:rsidR="00000000" w:rsidRPr="00000000">
              <w:rPr>
                <w:b w:val="1"/>
                <w:sz w:val="20"/>
                <w:szCs w:val="20"/>
                <w:rtl w:val="0"/>
              </w:rPr>
              <w:t xml:space="preserve">ВРАЖЕННЯ ПАЦІЄНТА ВІД ДОСВІДУ РОБОТИ ЗІ СТЕТОФОНОМ?</w:t>
            </w:r>
            <w:r w:rsidDel="00000000" w:rsidR="00000000" w:rsidRPr="00000000">
              <w:rPr>
                <w:rtl w:val="0"/>
              </w:rPr>
            </w:r>
          </w:p>
        </w:tc>
      </w:tr>
      <w:tr>
        <w:trPr>
          <w:cantSplit w:val="0"/>
          <w:trHeight w:val="345" w:hRule="atLeast"/>
          <w:tblHeader w:val="0"/>
        </w:trPr>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tcPr>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Загалом, пацієнтка не відчувала довіри до використання телефону для проведення діагностики. Окрім цього, мала страх впливу радіохвиль на здоров′я. Були надані відповідні пояснення щодо безпеки та відсутності негативного впливу Стетофону на здоров′я останньої. </w:t>
            </w:r>
          </w:p>
          <w:p w:rsidR="00000000" w:rsidDel="00000000" w:rsidP="00000000" w:rsidRDefault="00000000" w:rsidRPr="00000000" w14:paraId="00000011">
            <w:pPr>
              <w:spacing w:after="120" w:line="276" w:lineRule="auto"/>
              <w:jc w:val="both"/>
              <w:rPr>
                <w:sz w:val="20"/>
                <w:szCs w:val="20"/>
              </w:rPr>
            </w:pPr>
            <w:bookmarkStart w:colFirst="0" w:colLast="0" w:name="_heading=h.gjdgxs" w:id="2"/>
            <w:bookmarkEnd w:id="2"/>
            <w:r w:rsidDel="00000000" w:rsidR="00000000" w:rsidRPr="00000000">
              <w:rPr>
                <w:sz w:val="20"/>
                <w:szCs w:val="20"/>
                <w:rtl w:val="0"/>
              </w:rPr>
              <w:t xml:space="preserve">За результатами проведеної діагностики пацієнтка була надзвичайно здивована та задоволена якістю запису. Мала такий досвід вперше, тому стверджувала, що розповість про дану методику друзям. Також,  під кінець прийому, висловила своє бажання мати такий застосунок на власному телефоні. </w:t>
            </w:r>
          </w:p>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Зауважила, що сучасні технології можуть посилити інтерес громадськості до активної участі у власному медичному огляді. </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spacing w:after="120" w:lineRule="auto"/>
        <w:jc w:val="both"/>
        <w:rPr/>
      </w:pPr>
      <w:r w:rsidDel="00000000" w:rsidR="00000000" w:rsidRPr="00000000">
        <w:rPr>
          <w:rtl w:val="0"/>
        </w:rPr>
      </w:r>
    </w:p>
    <w:sectPr>
      <w:pgSz w:h="16838" w:w="11906" w:orient="portrait"/>
      <w:pgMar w:bottom="1133" w:top="1133" w:left="1417"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671853"/>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header"/>
    <w:basedOn w:val="a"/>
    <w:link w:val="a5"/>
    <w:uiPriority w:val="99"/>
    <w:unhideWhenUsed w:val="1"/>
    <w:rsid w:val="00574D76"/>
    <w:pPr>
      <w:tabs>
        <w:tab w:val="center" w:pos="4677"/>
        <w:tab w:val="right" w:pos="9355"/>
      </w:tabs>
    </w:pPr>
  </w:style>
  <w:style w:type="character" w:styleId="a5" w:customStyle="1">
    <w:name w:val="Верхний колонтитул Знак"/>
    <w:basedOn w:val="a0"/>
    <w:link w:val="a4"/>
    <w:uiPriority w:val="99"/>
    <w:rsid w:val="00574D76"/>
    <w:rPr>
      <w:rFonts w:ascii="Times New Roman" w:cs="Times New Roman" w:eastAsia="Times New Roman" w:hAnsi="Times New Roman"/>
      <w:kern w:val="0"/>
      <w:lang w:eastAsia="ru-RU" w:val="ru-RU"/>
    </w:rPr>
  </w:style>
  <w:style w:type="paragraph" w:styleId="a6">
    <w:name w:val="footer"/>
    <w:basedOn w:val="a"/>
    <w:link w:val="a7"/>
    <w:uiPriority w:val="99"/>
    <w:unhideWhenUsed w:val="1"/>
    <w:rsid w:val="00574D76"/>
    <w:pPr>
      <w:tabs>
        <w:tab w:val="center" w:pos="4677"/>
        <w:tab w:val="right" w:pos="9355"/>
      </w:tabs>
    </w:pPr>
  </w:style>
  <w:style w:type="character" w:styleId="a7" w:customStyle="1">
    <w:name w:val="Нижний колонтитул Знак"/>
    <w:basedOn w:val="a0"/>
    <w:link w:val="a6"/>
    <w:uiPriority w:val="99"/>
    <w:rsid w:val="00574D76"/>
    <w:rPr>
      <w:rFonts w:ascii="Times New Roman" w:cs="Times New Roman" w:eastAsia="Times New Roman" w:hAnsi="Times New Roman"/>
      <w:kern w:val="0"/>
      <w:lang w:eastAsia="ru-RU" w:val="ru-RU"/>
    </w:rPr>
  </w:style>
  <w:style w:type="character" w:styleId="a8">
    <w:name w:val="Emphasis"/>
    <w:basedOn w:val="a0"/>
    <w:uiPriority w:val="20"/>
    <w:qFormat w:val="1"/>
    <w:rsid w:val="00AF251E"/>
    <w:rPr>
      <w:i w:val="1"/>
      <w:iCs w:val="1"/>
    </w:rPr>
  </w:style>
  <w:style w:type="paragraph" w:styleId="a9">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n5c3AaBqdN8S1TXfJqxh/lwsWQ==">CgMxLjAyCWguMzBqMHpsbDIJaC4xZm9iOXRlMghoLmdqZGd4czgAciExZGVpWktaSVZqZkY3ZkRWMUJ1dlp1Z2k0eUxEQ2NIVGM=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2023-11-15T19:07:00Z</dcterms:created>
  <dc:creator>Лидия Санжаровская</dc:creator>
</cp:coreProperties>
</file>