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4000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 xml:space="preserve">2. Make sure all didn’t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proportion of invariant sites, and gamma shape).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741"/>
        <w:gridCol w:w="741"/>
        <w:gridCol w:w="742"/>
        <w:gridCol w:w="741"/>
        <w:gridCol w:w="741"/>
        <w:gridCol w:w="742"/>
        <w:gridCol w:w="743"/>
        <w:gridCol w:w="743"/>
        <w:gridCol w:w="741"/>
        <w:gridCol w:w="741"/>
        <w:gridCol w:w="742"/>
        <w:gridCol w:w="741"/>
        <w:gridCol w:w="738"/>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Ra</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Rb</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Rc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rPr>
            </w:pPr>
            <w:r>
              <w:rPr>
                <w:sz w:val="22"/>
                <w:szCs w:val="22"/>
              </w:rPr>
              <w:t>p-inv</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2.5456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8.1515</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1.0124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0.4160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2.9114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12.5112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1.2569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color w:val="00000A"/>
                <w:sz w:val="22"/>
                <w:szCs w:val="22"/>
                <w:highlight w:val="yellow"/>
              </w:rPr>
            </w:pPr>
            <w:r>
              <w:rPr>
                <w:b/>
                <w:bCs/>
                <w:color w:val="00000A"/>
                <w:sz w:val="22"/>
                <w:szCs w:val="22"/>
                <w:highlight w:val="yellow"/>
              </w:rPr>
              <w:t>0.5230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1.4780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8.3455</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0.7475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0.3760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4.4667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11.9476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2.0865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0.1510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2.5049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8.5117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1.0556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2.3657</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10.7771</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1.0675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0.4680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2"/>
                <w:szCs w:val="22"/>
                <w:highlight w:val="blue"/>
              </w:rPr>
            </w:pPr>
            <w:r>
              <w:rPr>
                <w:b/>
                <w:bCs/>
                <w:sz w:val="22"/>
                <w:szCs w:val="22"/>
                <w:highlight w:val="blue"/>
              </w:rPr>
              <w:t>2.2228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11.3781</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0.8362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0.4170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4.4488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11.5945</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2.3689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blue"/>
              </w:rPr>
            </w:pPr>
            <w:r>
              <w:rPr>
                <w:sz w:val="22"/>
                <w:szCs w:val="22"/>
                <w:highlight w:val="blue"/>
              </w:rPr>
              <w:t>0.2000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3.1392</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9.9166</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1.3332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0.3740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2.6304</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11.2629</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1.1085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0.5120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b/>
                <w:bCs/>
                <w:sz w:val="22"/>
                <w:szCs w:val="22"/>
                <w:highlight w:val="red"/>
              </w:rPr>
              <w:t>1.4520</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8.5121</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0.7428</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0.3990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4.7363</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13.9468</w:t>
            </w:r>
          </w:p>
        </w:tc>
        <w:tc>
          <w:tcPr>
            <w:tcW w:w="74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2.2234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2"/>
                <w:szCs w:val="22"/>
                <w:highlight w:val="red"/>
              </w:rPr>
            </w:pPr>
            <w:r>
              <w:rPr>
                <w:sz w:val="22"/>
                <w:szCs w:val="22"/>
                <w:highlight w:val="red"/>
              </w:rPr>
              <w:t>0.2070</w:t>
            </w:r>
          </w:p>
        </w:tc>
        <w:tc>
          <w:tcPr>
            <w:tcW w:w="7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Chosen parameters for subtypes A, B, and G</w:t>
      </w:r>
    </w:p>
    <w:tbl>
      <w:tblPr>
        <w:tblW w:w="9585" w:type="dxa"/>
        <w:jc w:val="left"/>
        <w:tblInd w:w="115"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675"/>
        <w:gridCol w:w="752"/>
        <w:gridCol w:w="735"/>
        <w:gridCol w:w="750"/>
        <w:gridCol w:w="737"/>
        <w:gridCol w:w="750"/>
        <w:gridCol w:w="735"/>
        <w:gridCol w:w="735"/>
        <w:gridCol w:w="752"/>
        <w:gridCol w:w="735"/>
        <w:gridCol w:w="751"/>
        <w:gridCol w:w="736"/>
        <w:gridCol w:w="741"/>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Subtype</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Freq.A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Freq.G</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Freq.T</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Rc</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Rd</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Re</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Rf</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22"/>
                <w:szCs w:val="22"/>
              </w:rPr>
              <w:t>p-inv</w:t>
            </w:r>
          </w:p>
        </w:tc>
        <w:tc>
          <w:tcPr>
            <w:tcW w:w="7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color w:val="00000A"/>
                <w:sz w:val="22"/>
                <w:szCs w:val="22"/>
              </w:rPr>
              <w:t>A</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 xml:space="preserve">0.3935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 xml:space="preserve">0.2060 </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0.2297</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1.2569</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0.8559</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12.9379</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1.0000</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color w:val="00000A"/>
                <w:sz w:val="22"/>
                <w:szCs w:val="22"/>
              </w:rPr>
              <w:t>0.5230</w:t>
            </w:r>
          </w:p>
        </w:tc>
        <w:tc>
          <w:tcPr>
            <w:tcW w:w="7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color w:val="00000A"/>
                <w:sz w:val="22"/>
                <w:szCs w:val="22"/>
              </w:rPr>
              <w:t>B</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0.3857</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0.2234</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0.2300</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1.0675</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1.2966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12.6824</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b/>
                <w:bCs/>
                <w:sz w:val="22"/>
                <w:szCs w:val="22"/>
              </w:rPr>
              <w:t>1.0000</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highlight w:val="yellow"/>
              </w:rPr>
            </w:pPr>
            <w:r>
              <w:rPr>
                <w:b/>
                <w:bCs/>
                <w:color w:val="00000A"/>
                <w:sz w:val="22"/>
                <w:szCs w:val="22"/>
                <w:highlight w:val="yellow"/>
              </w:rPr>
              <w:t>0.5</w:t>
            </w:r>
          </w:p>
        </w:tc>
        <w:tc>
          <w:tcPr>
            <w:tcW w:w="7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color w:val="00000A"/>
                <w:sz w:val="22"/>
                <w:szCs w:val="22"/>
              </w:rPr>
              <w:t>G</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 xml:space="preserve">0.3987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0.2202</w:t>
            </w:r>
          </w:p>
        </w:tc>
        <w:tc>
          <w:tcPr>
            <w:tcW w:w="7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0.2249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1.3332</w:t>
            </w:r>
          </w:p>
        </w:tc>
        <w:tc>
          <w:tcPr>
            <w:tcW w:w="75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1.2652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14.9356</w:t>
            </w:r>
          </w:p>
        </w:tc>
        <w:tc>
          <w:tcPr>
            <w:tcW w:w="75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1.0000</w:t>
            </w:r>
          </w:p>
        </w:tc>
        <w:tc>
          <w:tcPr>
            <w:tcW w:w="73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sz w:val="22"/>
                <w:szCs w:val="22"/>
              </w:rPr>
              <w:t>0.5120</w:t>
            </w:r>
          </w:p>
        </w:tc>
        <w:tc>
          <w:tcPr>
            <w:tcW w:w="7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2"/>
      <w:r>
        <w:rPr/>
        <w:t>(30 sequences)</w:t>
      </w:r>
      <w:r>
        <w:rPr/>
      </w:r>
      <w:commentRangeEnd w:id="2"/>
      <w:r>
        <w:commentReference w:id="2"/>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TextBody"/>
        <w:jc w:val="both"/>
        <w:rPr/>
      </w:pPr>
      <w:r>
        <w:rPr/>
      </w:r>
    </w:p>
    <w:p>
      <w:pPr>
        <w:pStyle w:val="TextBody"/>
        <w:jc w:val="both"/>
        <w:rPr/>
      </w:pPr>
      <w:r>
        <w:rPr/>
        <w:t>Even with the original sequence, better to fix the proportion of invariant sites at 80% to still getting the same strain.</w:t>
      </w:r>
    </w:p>
    <w:p>
      <w:pPr>
        <w:pStyle w:val="Heading1"/>
        <w:rPr/>
      </w:pPr>
      <w:r>
        <w:rPr>
          <w:b/>
          <w:bCs/>
        </w:rPr>
        <w:t>Running Simpact</w:t>
      </w:r>
    </w:p>
    <w:p>
      <w:pPr>
        <w:pStyle w:val="Heading1"/>
        <w:rPr>
          <w:b w:val="false"/>
          <w:b w:val="false"/>
          <w:bCs w:val="false"/>
        </w:rPr>
      </w:pPr>
      <w:r>
        <w:rPr>
          <w:b w:val="false"/>
          <w:bCs w:val="false"/>
        </w:rPr>
        <w:t>A. 4000 individuals(1800M&amp;2200W), SEEDS: 40 @10</w:t>
      </w:r>
    </w:p>
    <w:p>
      <w:pPr>
        <w:pStyle w:val="PreformattedText"/>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spacing w:before="0" w:after="0"/>
        <w:rPr>
          <w:rFonts w:ascii="Ubuntu Mono" w:hAnsi="Ubuntu Mono"/>
          <w:sz w:val="21"/>
        </w:rPr>
      </w:pPr>
      <w:r>
        <w:rPr>
          <w:rFonts w:ascii="Ubuntu Mono" w:hAnsi="Ubuntu Mono"/>
          <w:sz w:val="21"/>
        </w:rPr>
        <w:t># Current simulation time is 40.0002</w:t>
      </w:r>
    </w:p>
    <w:p>
      <w:pPr>
        <w:pStyle w:val="PreformattedText"/>
        <w:spacing w:before="0" w:after="0"/>
        <w:rPr>
          <w:rFonts w:ascii="Ubuntu Mono" w:hAnsi="Ubuntu Mono"/>
          <w:sz w:val="21"/>
        </w:rPr>
      </w:pPr>
      <w:r>
        <w:rPr>
          <w:rFonts w:ascii="Ubuntu Mono" w:hAnsi="Ubuntu Mono"/>
          <w:sz w:val="21"/>
        </w:rPr>
        <w:t># Number of events executed is 80998</w:t>
      </w:r>
    </w:p>
    <w:p>
      <w:pPr>
        <w:pStyle w:val="PreformattedText"/>
        <w:spacing w:before="0" w:after="0"/>
        <w:rPr/>
      </w:pPr>
      <w:r>
        <w:rPr>
          <w:rFonts w:ascii="Ubuntu Mono" w:hAnsi="Ubuntu Mono"/>
          <w:sz w:val="21"/>
        </w:rPr>
        <w:t># Started with 4000 people, ending with 8289</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27</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32</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37</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20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highlight w:val="yellow"/>
              </w:rPr>
              <w:t>1403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716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370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20 &gt;B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TextBody"/>
        <w:rPr/>
      </w:pPr>
      <w:r>
        <w:rPr/>
      </w:r>
    </w:p>
    <w:p>
      <w:pPr>
        <w:pStyle w:val="Heading1"/>
        <w:rPr>
          <w:b w:val="false"/>
          <w:b w:val="false"/>
          <w:bCs w:val="false"/>
        </w:rPr>
      </w:pPr>
      <w:r>
        <w:rPr>
          <w:b w:val="false"/>
          <w:bCs w:val="false"/>
        </w:rPr>
        <w:t>B. 8000 individuals(3800M&amp;4200W), SEEDS: 40 @10</w:t>
      </w:r>
    </w:p>
    <w:p>
      <w:pPr>
        <w:pStyle w:val="PreformattedText"/>
        <w:spacing w:before="0" w:after="0"/>
        <w:ind w:left="0" w:right="0" w:hanging="0"/>
        <w:rPr>
          <w:rFonts w:ascii="Ubuntu Mono" w:hAnsi="Ubuntu Mono"/>
          <w:sz w:val="21"/>
        </w:rPr>
      </w:pPr>
      <w:bookmarkStart w:id="3" w:name="rstudio_console_output2"/>
      <w:bookmarkEnd w:id="3"/>
      <w:r>
        <w:rPr>
          <w:rFonts w:ascii="Ubuntu Mono" w:hAnsi="Ubuntu Mono"/>
          <w:sz w:val="21"/>
        </w:rPr>
        <w:t># Current simulation time is 40.0001</w:t>
      </w:r>
    </w:p>
    <w:p>
      <w:pPr>
        <w:pStyle w:val="PreformattedText"/>
        <w:spacing w:before="0" w:after="0"/>
        <w:rPr>
          <w:rFonts w:ascii="Ubuntu Mono" w:hAnsi="Ubuntu Mono"/>
          <w:sz w:val="21"/>
        </w:rPr>
      </w:pPr>
      <w:r>
        <w:rPr>
          <w:rFonts w:ascii="Ubuntu Mono" w:hAnsi="Ubuntu Mono"/>
          <w:sz w:val="21"/>
        </w:rPr>
        <w:t># Number of events executed is 171362</w:t>
      </w:r>
    </w:p>
    <w:p>
      <w:pPr>
        <w:pStyle w:val="PreformattedText"/>
        <w:spacing w:before="0" w:after="0"/>
        <w:rPr>
          <w:rFonts w:ascii="Ubuntu Mono" w:hAnsi="Ubuntu Mono"/>
          <w:sz w:val="21"/>
        </w:rPr>
      </w:pPr>
      <w:r>
        <w:rPr>
          <w:rFonts w:ascii="Ubuntu Mono" w:hAnsi="Ubuntu Mono"/>
          <w:sz w:val="21"/>
        </w:rPr>
        <w:t># Started with 8000 people, ending with 17017 (difference is 9017)</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Seed</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19</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24</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34</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39</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Size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1079 &gt;A</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&gt;B</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highlight w:val="yellow"/>
              </w:rPr>
              <w:t>3032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809 &gt;G</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&gt;B</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&gt;B</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4 &gt;B</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r>
    </w:p>
    <w:p>
      <w:pPr>
        <w:pStyle w:val="Heading1"/>
        <w:rPr/>
      </w:pPr>
      <w:r>
        <w:rPr>
          <w:b/>
          <w:bCs/>
        </w:rPr>
        <w:t>Define Transmission Network Parameters Estimated From HIV Sequences</w:t>
      </w:r>
      <w:r>
        <w:rPr/>
        <w:t xml:space="preserve"> </w:t>
      </w:r>
    </w:p>
    <w:p>
      <w:pPr>
        <w:pStyle w:val="TextBody"/>
        <w:rPr>
          <w:b/>
          <w:b/>
          <w:bCs/>
        </w:rPr>
      </w:pPr>
      <w:r>
        <w:rPr/>
      </w:r>
    </w:p>
    <w:p>
      <w:pPr>
        <w:pStyle w:val="TextBody"/>
        <w:rPr/>
      </w:pPr>
      <w:r>
        <w:rPr>
          <w:b/>
          <w:bCs/>
        </w:rPr>
        <w:t>Ref</w:t>
      </w:r>
      <w:r>
        <w:rPr>
          <w:b/>
          <w:bCs/>
        </w:rPr>
        <w:t>erences:</w:t>
      </w:r>
    </w:p>
    <w:p>
      <w:pPr>
        <w:pStyle w:val="TextBody"/>
        <w:numPr>
          <w:ilvl w:val="0"/>
          <w:numId w:val="5"/>
        </w:numPr>
        <w:rPr/>
      </w:pPr>
      <w:r>
        <w:rPr/>
        <w:t>Andrew J. Leigh Brown et al., Transmission Network Parameters Estimated From HIV Sequences for a Nationwide Epidemic, 2011</w:t>
      </w:r>
    </w:p>
    <w:p>
      <w:pPr>
        <w:pStyle w:val="TextBody"/>
        <w:numPr>
          <w:ilvl w:val="0"/>
          <w:numId w:val="5"/>
        </w:numPr>
        <w:rPr/>
      </w:pPr>
      <w:r>
        <w:rPr/>
        <w:t xml:space="preserve">Gareth J. Hughes, et al., </w:t>
      </w:r>
      <w:commentRangeStart w:id="3"/>
      <w:r>
        <w:rPr/>
        <w:t>Molecular Phylodynamics of the Heterosexual HIV Epidemic in the United Kingdom</w:t>
      </w:r>
      <w:r>
        <w:rPr/>
      </w:r>
      <w:commentRangeEnd w:id="3"/>
      <w:r>
        <w:commentReference w:id="3"/>
      </w:r>
      <w:r>
        <w:rPr/>
        <w:t>, 2009</w:t>
      </w:r>
    </w:p>
    <w:p>
      <w:pPr>
        <w:pStyle w:val="TextBody"/>
        <w:numPr>
          <w:ilvl w:val="0"/>
          <w:numId w:val="5"/>
        </w:numPr>
        <w:rPr/>
      </w:pPr>
      <w:r>
        <w:rPr/>
        <w:t xml:space="preserve">Paraskevis D et al., </w:t>
      </w:r>
      <w:commentRangeStart w:id="4"/>
      <w:r>
        <w:rPr/>
        <w:t>Phylogenetic reconstruction of a known HIV-1 CRF04_cpx transmission network using maximum likelihood and Bayesian methods</w:t>
      </w:r>
      <w:r>
        <w:rPr/>
      </w:r>
      <w:commentRangeEnd w:id="4"/>
      <w:r>
        <w:commentReference w:id="4"/>
      </w:r>
      <w:r>
        <w:rPr/>
        <w:t>, 2004</w:t>
      </w:r>
    </w:p>
    <w:p>
      <w:pPr>
        <w:pStyle w:val="TextBody"/>
        <w:rPr/>
      </w:pPr>
      <w:r>
        <w:rPr/>
      </w:r>
    </w:p>
    <w:p>
      <w:pPr>
        <w:pStyle w:val="Heading1"/>
        <w:rPr>
          <w:b/>
          <w:b/>
          <w:bCs/>
        </w:rPr>
      </w:pPr>
      <w:r>
        <w:rPr>
          <w:b/>
          <w:bCs/>
        </w:rPr>
        <w:t>Big steps:</w:t>
      </w:r>
    </w:p>
    <w:p>
      <w:pPr>
        <w:pStyle w:val="TextBody"/>
        <w:numPr>
          <w:ilvl w:val="0"/>
          <w:numId w:val="6"/>
        </w:numPr>
        <w:jc w:val="both"/>
        <w:rPr/>
      </w:pPr>
      <w:r>
        <w:rPr>
          <w:b/>
          <w:bCs/>
        </w:rPr>
        <w:t>N</w:t>
      </w:r>
      <w:r>
        <w:rPr>
          <w:b/>
          <w:bCs/>
        </w:rPr>
        <w:t xml:space="preserve">etwork creation: </w:t>
      </w:r>
      <w:r>
        <w:rPr/>
        <w:t>the tree data shoule be processed using a custom R script utilizing the mrca function in the R package ape; a network with a time depth of 31 years, representing the maximum depth and maximum number of connections between the sequences, will be also created for comparison. Clusters will be identified using the clusters function within the R package igraph.</w:t>
      </w:r>
    </w:p>
    <w:p>
      <w:pPr>
        <w:pStyle w:val="TextBody"/>
        <w:numPr>
          <w:ilvl w:val="0"/>
          <w:numId w:val="6"/>
        </w:numPr>
        <w:jc w:val="both"/>
        <w:rPr/>
      </w:pPr>
      <w:commentRangeStart w:id="5"/>
      <w:r>
        <w:rPr>
          <w:b/>
          <w:bCs/>
        </w:rPr>
        <w:t>Network Shape Analysis:</w:t>
      </w:r>
      <w:r>
        <w:rPr>
          <w:b/>
          <w:bCs/>
        </w:rPr>
      </w:r>
      <w:commentRangeEnd w:id="5"/>
      <w:r>
        <w:commentReference w:id="5"/>
      </w:r>
      <w:r>
        <w:rPr/>
        <w:t xml:space="preserve"> the degree of a node (number of links per node) approximates the number of possible infected contacts an individual has had within the period of the network. We will use the statnet package within R to fit several models to the degree distribution of the nodes within our networks.</w:t>
      </w:r>
    </w:p>
    <w:p>
      <w:pPr>
        <w:pStyle w:val="TextBody"/>
        <w:numPr>
          <w:ilvl w:val="0"/>
          <w:numId w:val="6"/>
        </w:numPr>
        <w:jc w:val="both"/>
        <w:rPr/>
      </w:pPr>
      <w:r>
        <w:rPr>
          <w:b/>
          <w:bCs/>
        </w:rPr>
        <w:t>Network Structure:</w:t>
      </w:r>
      <w:r>
        <w:rPr/>
        <w:t xml:space="preserve"> The network structure was reconstructed using the time to the most recent common ancestors estimated for all individuals at a given time depth</w:t>
      </w:r>
    </w:p>
    <w:p>
      <w:pPr>
        <w:pStyle w:val="Heading1"/>
        <w:rPr/>
      </w:pPr>
      <w:r>
        <w:rPr>
          <w:b/>
          <w:bCs/>
        </w:rPr>
        <w:t>Scenario 1</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(HIV-1-B)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4" w:name="__DdeLink__156_1024011965"/>
      <w:r>
        <w:rPr/>
        <w:t>-A-B-</w:t>
      </w:r>
      <w:bookmarkEnd w:id="4"/>
      <w:r>
        <w:rPr/>
        <w:t>G)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(HIV-1-A-B-G)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Take 0.9 instead of 1.0700</w:t>
      </w:r>
    </w:p>
  </w:comment>
  <w:comment w:id="2" w:author="David Niyukuri" w:date="2017-11-07T23:26:02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NOT use second hand data to simulate the virus evolution across the tranmission networks. Whensubtyping the result sequences they are not determined and are suspcetd as CRF’s. Use then hiv.seq.A.pol.j.fasta (Ab,B, and G)</w:t>
      </w:r>
    </w:p>
  </w:comment>
  <w:comment w:id="3" w:author="David Niyukuri" w:date="2017-11-09T21:25:05Z" w:initials="DN">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ZA" w:eastAsia="zh-CN" w:bidi="hi-IN"/>
        </w:rPr>
        <w:t>1. the internode lengths, used as estimates of maximum transmission intervals</w:t>
      </w:r>
    </w:p>
    <w:p>
      <w:r>
        <w:rPr>
          <w:rFonts w:eastAsia="DejaVu Sans" w:cs="DejaVu Sans"/>
          <w:color w:val="auto"/>
          <w:lang w:val="en-US" w:eastAsia="en-US" w:bidi="en-US"/>
        </w:rPr>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2. Log-log plot of numbers of individuals with k contacts (N(k)) against the number of contacts (k). Individuals are assumed to be in contact within the clusters only if the time to the most recent common ancestor of their virus sequences is less than or equal to 5 years. Best fit was power-law</w:t>
      </w:r>
    </w:p>
  </w:comment>
  <w:comment w:id="4" w:author="David Niyukuri" w:date="2017-11-09T21:21:37Z" w:initials="DN">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Cite “Our findings suggest that the epidemiological relationships among patients who have been infected by a common source correspond almost exactly to the evolutionary trees of the virus, given that enough phylogenetic signal is present in the alignment.”</w:t>
      </w:r>
    </w:p>
  </w:comment>
  <w:comment w:id="5" w:author="David Niyukuri" w:date="2017-11-09T22:34:33Z" w:initials="DN">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Characterise first the network distribution of the true transmission network.</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A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power law</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 is an approximation to a scale-free network, which can arise from a preferential attachment process, whereby individuals are more likely to link to individuals whoalready have multiple links. </w:t>
      </w:r>
    </w:p>
    <w:p>
      <w:r>
        <w:rPr>
          <w:rFonts w:eastAsia="DejaVu Sans" w:cs="DejaVu Sans"/>
          <w:color w:val="auto"/>
          <w:lang w:val="en-US" w:eastAsia="en-US" w:bidi="en-US"/>
        </w:rPr>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There are explicit models that describe the distribution arising from a preferential attachment process, and in order to apply a more rigorous test, we have compared the HIV transmission network of the UK MSM</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ZA" w:eastAsia="zh-CN" w:bidi="hi-IN"/>
        </w:rPr>
        <w:t>population to: negative binomial, discrete Pareto, Yule, and</w:t>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 xml:space="preserve">Waring distributions.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negative binomial</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 distribution, which is generated if each individual acquires partners at a constant rate, drawn from a gamma distribution.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ZA" w:eastAsia="zh-CN" w:bidi="hi-I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ZA" w:eastAsia="zh-CN" w:bidi="hi-IN"/>
        </w:rPr>
        <w:t xml:space="preserve">discrete Pareto </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ZA" w:eastAsia="zh-CN" w:bidi="hi-IN"/>
        </w:rPr>
        <w:t>distribution is a power law distribution, whereas the Yule and</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ZA" w:eastAsia="zh-CN" w:bidi="hi-IN"/>
        </w:rPr>
        <w:t xml:space="preserve">Waring distributions arise from specific preferential attachment models. </w:t>
      </w:r>
    </w:p>
    <w:p>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Both the</w:t>
      </w:r>
      <w:r>
        <w:rPr>
          <w:rFonts w:cs="FreeSans" w:eastAsia="Noto Sans CJK SC Regular" w:ascii="Liberation Serif" w:hAnsi="Liberation Serif"/>
          <w:b/>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 Yule and Waring distributions</w:t>
      </w:r>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 incorporate (1) </w:t>
      </w:r>
      <w:r>
        <w:rPr>
          <w:rFonts w:cs="FreeSans" w:eastAsia="Noto Sans CJK SC Regular" w:ascii="Liberation Serif" w:hAnsi="Liberation Serif"/>
          <w:b/>
          <w:bCs w:val="false"/>
          <w:i/>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the probability that a new link is made to a previously inactive individual</w:t>
      </w:r>
      <w:r>
        <w:rPr>
          <w:rFonts w:cs="FreeSans" w:eastAsia="Noto Sans CJK SC Regular"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 and (2) </w:t>
      </w:r>
      <w:r>
        <w:rPr>
          <w:rFonts w:cs="FreeSans" w:eastAsia="Noto Sans CJK SC Regular" w:ascii="Liberation Serif" w:hAnsi="Liberation Serif"/>
          <w:b/>
          <w:bCs w:val="false"/>
          <w:i/>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the probability that a new link is</w:t>
      </w:r>
    </w:p>
    <w:p>
      <w:r>
        <w:rPr>
          <w:rFonts w:cs="FreeSans" w:ascii="Liberation Serif" w:hAnsi="Liberation Serif" w:eastAsia="Noto Sans CJK SC Regular"/>
          <w:b/>
          <w:bCs w:val="false"/>
          <w:i/>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made to a person with k partners</w:t>
      </w:r>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 xml:space="preserve">. </w:t>
      </w:r>
    </w:p>
    <w:p>
      <w:r>
        <w:rPr>
          <w:rFonts w:eastAsia="DejaVu Sans" w:cs="DejaVu Sans"/>
          <w:color w:val="auto"/>
          <w:lang w:val="en-US" w:eastAsia="en-US" w:bidi="en-US"/>
        </w:rPr>
      </w:r>
    </w:p>
    <w:p>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The </w:t>
      </w:r>
      <w:r>
        <w:rPr>
          <w:rFonts w:ascii="Liberation Serif" w:hAnsi="Liberation Serif" w:cs="FreeSans" w:eastAsia="Noto Sans CJK SC Regular"/>
          <w:b/>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Waring distribution</w:t>
      </w:r>
      <w:r>
        <w:rPr>
          <w:rFonts w:ascii="Liberation Serif" w:hAnsi="Liberation Serif" w:cs="FreeSans"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val="en-ZA" w:eastAsia="zh-CN"/>
        </w:rPr>
        <w:t xml:space="preserve"> additionally allows for a third class of random, nonpreferential attachments. </w:t>
      </w:r>
    </w:p>
    <w:p>
      <w:r>
        <w:rPr>
          <w:rFonts w:eastAsia="DejaVu Sans" w:cs="DejaVu Sans"/>
          <w:color w:val="auto"/>
          <w:lang w:val="en-US" w:eastAsia="en-US" w:bidi="en-US"/>
        </w:rPr>
      </w:r>
    </w:p>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We used maximum likelihood to estimate parameter values and AICC to compare goodness of fit and found that for all time depths the Waring distribution was the</w:t>
      </w:r>
    </w:p>
    <w:p>
      <w:r>
        <w:rPr>
          <w:rFonts w:ascii="Liberation Serif" w:hAnsi="Liberation Serif" w:eastAsia="Noto Sans CJK SC Regular"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ZA" w:eastAsia="zh-CN" w:bidi="hi-IN"/>
        </w:rPr>
        <w:t>preferred distribution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931</TotalTime>
  <Application>LibreOffice/5.1.6.2$Linux_X86_64 LibreOffice_project/10m0$Build-2</Application>
  <Pages>7</Pages>
  <Words>1848</Words>
  <Characters>10585</Characters>
  <CharactersWithSpaces>12067</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2017-11-09T22:50:01Z</dcterms:modified>
  <cp:revision>146</cp:revision>
  <dc:subject/>
  <dc:title/>
</cp:coreProperties>
</file>