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 Co-Simulation Framework for Building Energy Management as a Testbed for Energy-Aware Data Movement Analysis</w:t>
      </w:r>
    </w:p>
    <w:p>
      <w:pPr>
        <w:jc w:val="center"/>
      </w:pPr>
      <w:r>
        <w:rPr>
          <w:sz w:val="22"/>
        </w:rPr>
        <w:t>CHOMPHUNUCH WONGPHONG</w:t>
        <w:br/>
      </w:r>
      <w:r>
        <w:rPr>
          <w:sz w:val="20"/>
        </w:rPr>
        <w:t>Thammasat University, Thailand, chomphunuch.won@dome.tu.ac.th</w:t>
        <w:br/>
      </w:r>
      <w:r>
        <w:rPr>
          <w:sz w:val="22"/>
        </w:rPr>
        <w:t>PATCHARARAT WONGTA</w:t>
        <w:br/>
      </w:r>
      <w:r>
        <w:rPr>
          <w:sz w:val="20"/>
        </w:rPr>
        <w:t>Thammasat University, Thailand, patchararat.won@dome.tu.ac.th</w:t>
        <w:br/>
      </w:r>
      <w:r>
        <w:rPr>
          <w:sz w:val="22"/>
        </w:rPr>
        <w:t>ASST. PROF. DR. WORAWAN DIAZ CARBALLO</w:t>
        <w:br/>
      </w:r>
      <w:r>
        <w:rPr>
          <w:sz w:val="20"/>
        </w:rPr>
        <w:t>Thammasat University, Thailand, papong@tu.ac.th</w:t>
      </w:r>
    </w:p>
    <w:p/>
    <w:p>
      <w:r>
        <w:rPr>
          <w:b/>
          <w:sz w:val="22"/>
        </w:rPr>
        <w:t>ABSTRACT</w:t>
      </w:r>
    </w:p>
    <w:p>
      <w:pPr>
        <w:pStyle w:val="BodyText"/>
      </w:pPr>
      <w:r>
        <w:t>Buildings consume more than one-third of global energy, with HVAC systems accounting for over 70%. Unpredictable occupant behavior causes energy variability of 100-300%, even in similar buildings. Co-simulation frameworks combining building physics (EnergyPlus) with agent-based occupant behavior models (Mesa) improve prediction accuracy but require HPC resources. However, frequent data exchange creates bottlenecks, increasing processing time by 20-50% and consuming 0.06-0.2 kWh/GB for network transfers. This paper presents Twin-B, a co-simulation testbed deployed on the LANTA supercomputer to profile energy-aware data movement in building simulation. Profiling 1,875 agents across 73 zones over three days reveals that cudaStreamSynchronize dominates 66.3% of CUDA API time due to 6,289 small (37.5-byte average) host-to-device transfers—a direct consequence of per-agent decision-making. These transfers waste 99.995% of PCIe bandwidth and consume 7.42 J energy. We demonstrate that batching agent operations could reduce energy consumption by 99.5% while achieving 1,200× speedup. This research establishes quantitative links between building simulation patterns and HPC efficiency, providing optimization strategies for sustainable digital twin systems.</w:t>
      </w:r>
    </w:p>
    <w:p/>
    <w:p>
      <w:r>
        <w:rPr>
          <w:b/>
          <w:sz w:val="22"/>
        </w:rPr>
        <w:t>Additional Keywords and Phrases:</w:t>
      </w:r>
    </w:p>
    <w:p>
      <w:pPr>
        <w:pStyle w:val="BodyText"/>
      </w:pPr>
      <w:r>
        <w:t>Energy Efficiency, Co-simulation, Building Energy, Agent-based Model, HPC, GPU Profiling</w:t>
      </w:r>
    </w:p>
    <w:p>
      <w:pPr>
        <w:pStyle w:val="Heading1"/>
      </w:pPr>
      <w:r>
        <w:t>1. INTRODUCTION</w:t>
      </w:r>
    </w:p>
    <w:p>
      <w:pPr>
        <w:pStyle w:val="BodyText"/>
      </w:pPr>
      <w:r>
        <w:t>Energy efficiency in buildings, enhanced through co-simulation frameworks, offers a critical pathway toward achieving a 35% reduction in energy consumption per square meter by 2030. Studies identify six key factors influencing building energy use: occupant behavior, density, temperature, structure, system efficiency, and management policies. Of these, occupant behavior is the most significant yet unpredictable factor [2, 3]. While early research confirmed that simulating only physical factors is inadequate [4], computational constraints traditionally forced compromises in accuracy.</w:t>
      </w:r>
    </w:p>
    <w:p>
      <w:pPr>
        <w:pStyle w:val="BodyText"/>
      </w:pPr>
      <w:r>
        <w:t>Advances in high-performance computing (HPC), particularly systems beyond Exascale with integrated AI accelerators, now enable hybrid simulation models that co-simulate both building physics and occupant behaviors. These virtual testbeds can evaluate energy-saving measures and identify operational inefficiencies with unprecedented accuracy. However, the computational infrastructure introduces its own energy footprint—a critical concern when simulation energy costs compete with the energy savings being optimized.</w:t>
      </w:r>
    </w:p>
    <w:p>
      <w:pPr>
        <w:pStyle w:val="BodyText"/>
      </w:pPr>
      <w:r>
        <w:t>Co-simulation frameworks excel at interoperability but face substantial energy consumption during data exchange. Synchronizing multiple models requires frequent data transfers that consume significant CPU and memory resources, creating idle periods that degrade performance. The choice of synchronization timestep critically affects both accuracy and energy efficiency: smaller steps enhance precision but increase communication overhead, while larger steps reduce computational load but may miss transient behavioral events. Network transmission in distributed co-simulation further compounds inefficiency, consuming orders of magnitude more energy than in-memory transfers.</w:t>
      </w:r>
    </w:p>
    <w:p>
      <w:pPr>
        <w:pStyle w:val="BodyText"/>
      </w:pPr>
      <w:r>
        <w:t>Despite growing research in building energy simulation and HPC optimization, the intersection remains understudied. Specifically, how do agent-based occupant modeling patterns translate to GPU data movement bottlenecks? What is the energy cost of simulating human behavior compared to the building's actual HVAC energy consumption? Can we quantify the trade-offs between simulation accuracy and computational sustainability?</w:t>
      </w:r>
    </w:p>
    <w:p>
      <w:pPr>
        <w:pStyle w:val="BodyText"/>
      </w:pPr>
      <w:r>
        <w:t>This paper addresses these questions by presenting Twin-B, a co-simulation framework integrating EnergyPlus building energy modeling with Mesa agent-based occupant simulation, deployed on PyTorch Distributed Data Parallel (DDP) infrastructure on the LANTA supercomputer. We use Twin-B as a profiling testbed to establish quantitative relationships between building simulation design choices and resulting HPC performance characteristics.</w:t>
      </w:r>
    </w:p>
    <w:p>
      <w:pPr>
        <w:pStyle w:val="Heading2"/>
      </w:pPr>
      <w:r>
        <w:t>Contributions</w:t>
      </w:r>
    </w:p>
    <w:p>
      <w:pPr>
        <w:pStyle w:val="BodyText"/>
      </w:pPr>
      <w:r>
        <w:t>This work makes three specific contributions:</w:t>
      </w:r>
    </w:p>
    <w:p>
      <w:pPr>
        <w:pStyle w:val="ListNumber"/>
      </w:pPr>
      <w:r>
        <w:rPr>
          <w:b/>
        </w:rPr>
        <w:t xml:space="preserve">Profiling analysis of co-simulation bottlenecks: </w:t>
      </w:r>
      <w:r>
        <w:t>We identify that cudaStreamSynchronize accounts for 66.3% of CUDA API time in building co-simulation, driven by 6,289 small (37.5-byte average) data transfers resulting from per-agent decision patterns. We trace this bottleneck directly to agent-based modeling implementation choices.</w:t>
      </w:r>
    </w:p>
    <w:p>
      <w:pPr>
        <w:pStyle w:val="ListNumber"/>
      </w:pPr>
      <w:r>
        <w:rPr>
          <w:b/>
        </w:rPr>
        <w:t xml:space="preserve">Quantification of energy overhead: </w:t>
      </w:r>
      <w:r>
        <w:t>We demonstrate that current data exchange patterns waste 99.995% of PCIe bandwidth and consume 7.42 J per simulation run. With optimization, this energy cost could be reduced 1,000× while improving performance 1,200×—critical for large-scale building optimization campaigns requiring thousands of simulation runs.</w:t>
      </w:r>
    </w:p>
    <w:p>
      <w:pPr>
        <w:pStyle w:val="ListNumber"/>
      </w:pPr>
      <w:r>
        <w:rPr>
          <w:b/>
        </w:rPr>
        <w:t xml:space="preserve">Integrated optimization framework: </w:t>
      </w:r>
      <w:r>
        <w:t>We provide domain-specific optimization strategies connecting building simulation patterns to HPC efficiency. Our analysis shows that batching agent operations (a building modeling decision) directly eliminates GPU synchronization overhead (an HPC concern), demonstrating how co-design across disciplines enables sustainable digital twins.</w:t>
      </w:r>
    </w:p>
    <w:p>
      <w:pPr>
        <w:pStyle w:val="BodyText"/>
      </w:pPr>
      <w:r>
        <w:t>The remainder of this paper is organized as follows: Section 2 reviews building energy simulation technologies, HPC techniques, and energy-aware data movement challenges. Section 3 describes the Twin-B co-simulation framework architecture and its mapping to GPU operations. Section 4 presents our profiling methodology and experimental results. Section 5 discusses implications for building simulation design and HPC optimization. Section 6 concludes with future directions.</w:t>
      </w:r>
    </w:p>
    <w:p>
      <w:pPr>
        <w:pStyle w:val="Heading1"/>
      </w:pPr>
      <w:r>
        <w:t>2. BACKGROUND AND RELATED WORK</w:t>
      </w:r>
    </w:p>
    <w:p>
      <w:pPr>
        <w:pStyle w:val="Heading2"/>
      </w:pPr>
      <w:r>
        <w:t>2.1 Building Energy Simulation and Co-Simulation</w:t>
      </w:r>
    </w:p>
    <w:p>
      <w:pPr>
        <w:pStyle w:val="BodyText"/>
      </w:pPr>
      <w:r>
        <w:t>Building Energy Simulation (BES) tools analyze and predict energy consumption to achieve sustainability goals. EnergyPlus is the dominant dynamic simulation tool, using physics-based models to calculate heat transfer and energy flow. It simulates thermal properties, HVAC systems, lighting, and occupant comfort metrics (PMV - Predicted Mean Vote). However, EnergyPlus has significant limitations in modeling occupant behavior, which accounts for the largest source of energy variability in real buildings.</w:t>
      </w:r>
    </w:p>
    <w:p>
      <w:pPr>
        <w:pStyle w:val="BodyText"/>
      </w:pPr>
      <w:r>
        <w:t>Agent-based simulation (ABS) addresses this gap by modeling autonomous units (agents) with individual behaviors and decision-making capabilities. Each agent follows rules governing decisions based on environmental conditions. Mesa is a Python-based ABM framework that provides scheduling, spatial environments, and data collection capabilities. Co-simulation frameworks integrate EnergyPlus with ABM tools to capture both building physics and occupant dynamics.</w:t>
      </w:r>
    </w:p>
    <w:p>
      <w:pPr>
        <w:pStyle w:val="BodyText"/>
      </w:pPr>
      <w:r>
        <w:t>Previous co-simulation research demonstrates significant energy savings potential. Li et al. achieved 29.15% electricity savings using PPO algorithms for temperature and humidity control [6]. Han et al. reduced energy costs by 12% and peak demand by 15% using multi-agent deep RL while maintaining 94% occupant comfort [7]. Wang et al. coupled EnergyPlus-CONTAM to simulate heat and indoor air quality for pollutant risk assessment [8]. However, these studies acknowledge but do not quantify the energy consumption of the simulation infrastructure itself.</w:t>
      </w:r>
    </w:p>
    <w:p>
      <w:pPr>
        <w:pStyle w:val="Heading2"/>
      </w:pPr>
      <w:r>
        <w:t>2.2 High-Performance Computing for Large-Scale Simulation</w:t>
      </w:r>
    </w:p>
    <w:p>
      <w:pPr>
        <w:pStyle w:val="BodyText"/>
      </w:pPr>
      <w:r>
        <w:t>Large-scale building simulations require HPC resources due to computational complexity. Agent-based models with realistic behavioral parameters demand minute-scale temporal resolution over year-long periods, resulting in tens of billions of floating-point operations per agent per timestep. PyTorch Distributed Data Parallel (DDP) enables efficient multi-GPU computation through process groups, gradient synchronization, and ring all-reduce algorithms [13, 14, 15]. Tampuu et al. demonstrated that distributing agent computations can reduce training time by up to 10× [16, 17].</w:t>
      </w:r>
    </w:p>
    <w:p>
      <w:pPr>
        <w:pStyle w:val="BodyText"/>
      </w:pPr>
      <w:r>
        <w:t>However, applying DDP to co-simulation poses challenges: (1) synchronizing simulators with different timesteps creates bottlenecks, (2) uneven workload distribution causes idle wait times, and (3) complex agent communication patterns stress inter-process communication [10, 11, 12]. Performance profiling tools like NVIDIA Nsight Systems are essential for identifying these bottlenecks [21]. Tallent et al.'s HPCToolkit demonstrates how profiling enables targeted optimization through bottleneck identification and performance tuning recommendations.</w:t>
      </w:r>
    </w:p>
    <w:p>
      <w:pPr>
        <w:pStyle w:val="Heading2"/>
      </w:pPr>
      <w:r>
        <w:t>2.3 Energy-Aware Data Movement in Co-Simulation</w:t>
      </w:r>
    </w:p>
    <w:p>
      <w:pPr>
        <w:pStyle w:val="BodyText"/>
      </w:pPr>
      <w:r>
        <w:t>Data exchange between models constitutes a major energy consumption source in co-simulation. Gomes et al. identified that inter-simulator communication imposes computational burden through increased CPU and memory usage [4, 5]. Karnouskos found processing time increases of 20-50% compared to single-simulator execution [9, 12]. Schweiger et al. demonstrated that timestep selection creates accuracy-energy trade-offs: larger steps reduce workload and energy but sacrifice accuracy, while smaller steps improve accuracy but significantly increase energy consumption [6].</w:t>
      </w:r>
    </w:p>
    <w:p>
      <w:pPr>
        <w:pStyle w:val="BodyText"/>
      </w:pPr>
      <w:r>
        <w:t>Network-based data transfer in distributed co-simulation consumes substantially more energy than in-memory communication. Koomey's analysis of data center growth estimated that transmitting 1 GB across networks consumes approximately 0.06-0.2 kWh depending on distance and network type [5, 7]. Given that co-simulations can execute thousands of data exchanges per run, this cumulative transmission overhead constitutes a significant energy footprint requiring optimization.</w:t>
      </w:r>
    </w:p>
    <w:p>
      <w:pPr>
        <w:pStyle w:val="BodyText"/>
      </w:pPr>
      <w:r>
        <w:t>Despite recognition of these challenges, existing literature lacks quantitative analysis linking specific simulation patterns to energy costs. High-frequency data exchange necessary for behavioral modeling requires fine temporal resolution, yet the energy implications remain unquantified. Our work addresses this gap by profiling an integrated building co-simulation to establish concrete relationships between modeling choices and computational energy consumption.</w:t>
      </w:r>
    </w:p>
    <w:p>
      <w:pPr>
        <w:pStyle w:val="Heading1"/>
      </w:pPr>
      <w:r>
        <w:t>3. TWIN-B CO-SIMULATION FRAMEWORK</w:t>
      </w:r>
    </w:p>
    <w:p>
      <w:pPr>
        <w:pStyle w:val="BodyText"/>
      </w:pPr>
      <w:r>
        <w:t>This section describes the Twin-B digital twin architecture, which combines EnergyPlus building energy simulation with Mesa agent-based occupant modeling on PyTorch DDP infrastructure. We detail the system components, data flow, and critically—the mapping from building simulation decisions to GPU operations that drives the profiling analysis in Section 4.</w:t>
      </w:r>
    </w:p>
    <w:p>
      <w:pPr>
        <w:pStyle w:val="Heading2"/>
      </w:pPr>
      <w:r>
        <w:t>3.1 Case Study: Boonchoo Building</w:t>
      </w:r>
    </w:p>
    <w:p>
      <w:pPr>
        <w:pStyle w:val="BodyText"/>
      </w:pPr>
      <w:r>
        <w:t>Twin-B models the Boonchoo Building at Thammasat University's Lampang Campus, Thailand (Northern weather zone 483780, coordinates 18.277°N 99.504°E, climate zone 7.0). Operational since 2018, the building provides detailed materials and maintenance records enabling accurate digital twin construction. The building accommodates educational activities with variable occupancy patterns—a scenario ideal for testing energy management strategies.</w:t>
      </w:r>
    </w:p>
    <w:p>
      <w:pPr>
        <w:pStyle w:val="BodyText"/>
      </w:pPr>
      <w:r>
        <w:t>The digital twin, constructed in SketchUp and imported to EnergyPlus, divides the building into 73 thermal zones based on physical structure and usage patterns. Our demonstration model focuses on three representative classrooms that can accommodate 1,875 occupants at full capacity. This scale—nearly 2,000 agents interacting with 73 zones—creates the computational complexity necessary for meaningful HPC profiling.</w:t>
      </w:r>
    </w:p>
    <w:p>
      <w:pPr>
        <w:pStyle w:val="Heading2"/>
      </w:pPr>
      <w:r>
        <w:t>3.2 Data Preparation and Model Development</w:t>
      </w:r>
    </w:p>
    <w:p>
      <w:pPr>
        <w:pStyle w:val="BodyText"/>
      </w:pPr>
      <w:r>
        <w:t>Twin-B requires two categories of input data:</w:t>
      </w:r>
    </w:p>
    <w:p>
      <w:pPr>
        <w:pStyle w:val="ListBullet"/>
      </w:pPr>
      <w:r>
        <w:t>Building physical data: 3D architectural models from actual building plans, material thermal properties with heat transfer coefficients (U-values) for walls, roofs, and windows, HVAC system specifications including air conditioner types and coefficients of performance (COP), and EnergyPlus Weather Format (EPW) files for Lampang Province from Climate.OneBuilding database.</w:t>
      </w:r>
    </w:p>
    <w:p>
      <w:pPr>
        <w:pStyle w:val="ListBullet"/>
      </w:pPr>
      <w:r>
        <w:t>Occupant behavioral data: Classroom usage patterns by students and teachers, air conditioning control behavior (on/off patterns, setpoint preferences), building occupant density during different periods (class schedules, exam weeks, conferences), and individual thermal comfort preferences.</w:t>
      </w:r>
    </w:p>
    <w:p>
      <w:pPr>
        <w:pStyle w:val="BodyText"/>
      </w:pPr>
      <w:r>
        <w:t>The EnergyPlus model defines 73 thermal zones, assigns material properties with validated U-values, configures HVAC parameters including equipment COP and operating schedules, and integrates real weather data. The Mesa agent model creates 1,875 agents representing students, instructors, staff, cleaners, wardens, and visitors. Each agent has unique attributes: preferred temperature, comfort tolerance, current location, and behavioral rules based on schedule and environmental conditions.</w:t>
      </w:r>
    </w:p>
    <w:p>
      <w:pPr>
        <w:pStyle w:val="Heading2"/>
      </w:pPr>
      <w:r>
        <w:t>3.3 Co-Simulation Integration and Synchronization</w:t>
      </w:r>
    </w:p>
    <w:p>
      <w:pPr>
        <w:pStyle w:val="BodyText"/>
      </w:pPr>
      <w:r>
        <w:t>Twin-B employs master-slave synchronization with EnergyPlus as master and Mesa as slave. The simulation cycle operates as follows:</w:t>
      </w:r>
    </w:p>
    <w:p>
      <w:pPr>
        <w:pStyle w:val="ListNumber"/>
      </w:pPr>
      <w:r>
        <w:t>EnergyPlus executes building physics simulation and reaches a callback point (5-minute intervals, 288 timesteps per 24-hour day).</w:t>
      </w:r>
    </w:p>
    <w:p>
      <w:pPr>
        <w:pStyle w:val="ListNumber"/>
      </w:pPr>
      <w:r>
        <w:t>EnergyPlus pauses and invokes callback API, which reads current zone temperatures (73 float values) and places them in a thread-safe queue.</w:t>
      </w:r>
    </w:p>
    <w:p>
      <w:pPr>
        <w:pStyle w:val="ListNumber"/>
      </w:pPr>
      <w:r>
        <w:t>Orchestrator process extracts temperature data from queue and broadcasts to Mesa model running on distributed GPUs.</w:t>
      </w:r>
    </w:p>
    <w:p>
      <w:pPr>
        <w:pStyle w:val="ListNumber"/>
      </w:pPr>
      <w:r>
        <w:t>Each Mesa agent receives zone temperature for their current location, calculates comfort level, and decides whether to request air conditioning (binary decision: on/off or setpoint temperature).</w:t>
      </w:r>
    </w:p>
    <w:p>
      <w:pPr>
        <w:pStyle w:val="ListNumber"/>
      </w:pPr>
      <w:r>
        <w:t>PyTorch DDP executes NCCL all-gather to collect setpoint requests from all 1,875 agents distributed across 2 GPUs.</w:t>
      </w:r>
    </w:p>
    <w:p>
      <w:pPr>
        <w:pStyle w:val="ListNumber"/>
      </w:pPr>
      <w:r>
        <w:t>Aggregation logic computes zone-level setpoints by taking the minimum request per zone (coldest preference wins).</w:t>
      </w:r>
    </w:p>
    <w:p>
      <w:pPr>
        <w:pStyle w:val="ListNumber"/>
      </w:pPr>
      <w:r>
        <w:t>Merged setpoints (73 float values) return to EnergyPlus via callback API.</w:t>
      </w:r>
    </w:p>
    <w:p>
      <w:pPr>
        <w:pStyle w:val="ListNumber"/>
      </w:pPr>
      <w:r>
        <w:t>EnergyPlus applies actuator values to HVAC control system and advances to next timestep.</w:t>
      </w:r>
    </w:p>
    <w:p>
      <w:pPr>
        <w:pStyle w:val="BodyText"/>
      </w:pPr>
      <w:r>
        <w:t>This tight coupling ensures physical accuracy (5-minute timesteps capture transient thermal dynamics) but creates frequent data exchange—the source of performance bottlenecks analyzed in Section 4.</w:t>
      </w:r>
    </w:p>
    <w:p>
      <w:pPr>
        <w:pStyle w:val="Heading2"/>
      </w:pPr>
      <w:r>
        <w:t>3.4 From Building Simulation to GPU Operations: The Critical Mapping</w:t>
      </w:r>
    </w:p>
    <w:p>
      <w:pPr>
        <w:pStyle w:val="BodyText"/>
      </w:pPr>
      <w:r>
        <w:t>Understanding how building modeling decisions manifest as GPU operations is essential for interpreting Section 4's profiling results. This section traces the complete data flow from occupant behavior to memory transfers.</w:t>
      </w:r>
    </w:p>
    <w:p>
      <w:r>
        <w:rPr>
          <w:b/>
        </w:rPr>
        <w:t>Agent Decision-Making and Data Structure</w:t>
      </w:r>
    </w:p>
    <w:p>
      <w:pPr>
        <w:pStyle w:val="BodyText"/>
      </w:pPr>
      <w:r>
        <w:t>Each of the 1,875 agents maintains state on GPU as PyTorch tensors:</w:t>
        <w:br/>
        <w:t xml:space="preserve">  • Agent ID (int32): 4 bytes</w:t>
        <w:br/>
        <w:t xml:space="preserve">  • Current zone (int32): 4 bytes</w:t>
        <w:br/>
        <w:t xml:space="preserve">  • Preferred temperature (float32): 4 bytes</w:t>
        <w:br/>
        <w:t xml:space="preserve">  • Comfort tolerance (float32): 4 bytes</w:t>
        <w:br/>
        <w:t xml:space="preserve">  • Current temperature (float32): 4 bytes (received from EnergyPlus)</w:t>
        <w:br/>
        <w:t xml:space="preserve">  • Using AC decision (bool): 1 byte</w:t>
        <w:br/>
        <w:t xml:space="preserve">  • Setpoint request (float32): 4 bytes</w:t>
        <w:br/>
        <w:t xml:space="preserve">  Total per agent: ~25-40 bytes depending on padding</w:t>
      </w:r>
    </w:p>
    <w:p>
      <w:pPr>
        <w:pStyle w:val="BodyText"/>
      </w:pPr>
      <w:r>
        <w:t>The 37.5-byte average observed in profiling (Section 4.2) directly reflects this per-agent data structure. With 1,875 agents making decisions each timestep, and 288 timesteps per simulation, this architecture generates:</w:t>
      </w:r>
    </w:p>
    <w:p>
      <w:pPr>
        <w:pStyle w:val="BodyText"/>
      </w:pPr>
      <w:r>
        <w:t xml:space="preserve">  • 288 timesteps × 1,875 agents = 540,000 agent decisions</w:t>
        <w:br/>
        <w:t xml:space="preserve">  • Each decision requires temperature input (H2D transfer) and setpoint output (D2H transfer)</w:t>
        <w:br/>
        <w:t xml:space="preserve">  • Current implementation transfers agents individually rather than batched</w:t>
        <w:br/>
        <w:t xml:space="preserve">  • Result: 6,289 observed H2D transfers averaging 37.5 bytes (Section 4.2)</w:t>
      </w:r>
    </w:p>
    <w:p>
      <w:r>
        <w:rPr>
          <w:b/>
        </w:rPr>
        <w:t>Why Small Transfers Occur</w:t>
      </w:r>
    </w:p>
    <w:p>
      <w:pPr>
        <w:pStyle w:val="BodyText"/>
      </w:pPr>
      <w:r>
        <w:t>The profiling reveals frequent small transfers rather than batched operations due to implementation patterns in the Mesa-PyTorch integration:</w:t>
      </w:r>
    </w:p>
    <w:p>
      <w:pPr>
        <w:pStyle w:val="ListBullet"/>
      </w:pPr>
      <w:r>
        <w:t>Per-agent tensor creation: Each agent decision creates a new tensor transferred independently to GPU.</w:t>
      </w:r>
    </w:p>
    <w:p>
      <w:pPr>
        <w:pStyle w:val="ListBullet"/>
      </w:pPr>
      <w:r>
        <w:t>Synchronous execution: Agent logic executes sequentially rather than vectorized, forcing immediate data availability.</w:t>
      </w:r>
    </w:p>
    <w:p>
      <w:pPr>
        <w:pStyle w:val="ListBullet"/>
      </w:pPr>
      <w:r>
        <w:t>Comfort calculation: The formula comfort_level = max(0.0, preferred_temp - abs(current_temp - preferred_temp)) operates on scalar values rather than batched vectors.</w:t>
      </w:r>
    </w:p>
    <w:p>
      <w:pPr>
        <w:pStyle w:val="ListBullet"/>
      </w:pPr>
      <w:r>
        <w:t>Decision broadcasting: AC control decisions propagate individually through the DDP communication layer rather than aggregated.</w:t>
      </w:r>
    </w:p>
    <w:p>
      <w:pPr>
        <w:pStyle w:val="BodyText"/>
      </w:pPr>
      <w:r>
        <w:t>These patterns are not inherent to building simulation but reflect conventional agent-based modeling practice—each agent as an independent object. The GPU, however, excels at batched operations. This architectural mismatch creates the 99.995% bandwidth waste quantified in Section 4.</w:t>
      </w:r>
    </w:p>
    <w:p>
      <w:r>
        <w:rPr>
          <w:b/>
        </w:rPr>
        <w:t>Communication Pattern Analysis</w:t>
      </w:r>
    </w:p>
    <w:p>
      <w:pPr>
        <w:pStyle w:val="BodyText"/>
      </w:pPr>
      <w:r>
        <w:t>The 73 thermal zones create additional communication complexity. After individual agent decisions, zone-level aggregation requires:</w:t>
      </w:r>
    </w:p>
    <w:p>
      <w:pPr>
        <w:pStyle w:val="BodyText"/>
      </w:pPr>
      <w:r>
        <w:t xml:space="preserve">  • Scatter: Distribute 1,875 agent decisions to respective zones (many-to-many mapping)</w:t>
        <w:br/>
        <w:t xml:space="preserve">  • Reduce: Compute minimum setpoint per zone (73 reduction operations)</w:t>
        <w:br/>
        <w:t xml:space="preserve">  • Gather: NCCL all-gather across 2 GPUs to merge distributed agents (observed 580 AllGather calls)</w:t>
        <w:br/>
        <w:t xml:space="preserve">  • Broadcast: Return 73 zone setpoints to EnergyPlus</w:t>
      </w:r>
    </w:p>
    <w:p>
      <w:pPr>
        <w:pStyle w:val="BodyText"/>
      </w:pPr>
      <w:r>
        <w:t>This explains why NCCL communication consumes 64.4% of GPU kernel time (Section 4.2)—not due to NCCL inefficiency (operations complete in 14-17 μs), but due to operation frequency driven by the 73-zone × 288-timestep architecture.</w:t>
      </w:r>
    </w:p>
    <w:p>
      <w:r>
        <w:rPr>
          <w:b/>
        </w:rPr>
        <w:t>Synchronization Requirements</w:t>
      </w:r>
    </w:p>
    <w:p>
      <w:pPr>
        <w:pStyle w:val="BodyText"/>
      </w:pPr>
      <w:r>
        <w:t>The master-slave synchronization strategy imposes strict ordering:</w:t>
      </w:r>
    </w:p>
    <w:p>
      <w:pPr>
        <w:pStyle w:val="BodyText"/>
      </w:pPr>
      <w:r>
        <w:t xml:space="preserve">  1. EnergyPlus callback blocks until zone temperatures are ready</w:t>
        <w:br/>
        <w:t xml:space="preserve">  2. Mesa agents cannot proceed until temperatures arrive (CPU-GPU synchronization)</w:t>
        <w:br/>
        <w:t xml:space="preserve">  3. EnergyPlus cannot advance until setpoint decisions return (GPU-CPU synchronization)</w:t>
        <w:br/>
        <w:t xml:space="preserve">  4. Each synchronization point triggers cudaStreamSynchronize</w:t>
      </w:r>
    </w:p>
    <w:p>
      <w:pPr>
        <w:pStyle w:val="BodyText"/>
      </w:pPr>
      <w:r>
        <w:t>With 288 timesteps and multiple synchronization points per timestep, this explains the 547,393 cudaStreamSynchronize calls observed (Section 4.2). The 66.3% CUDA API time overhead is not a GPU limitation but a consequence of the tight temporal coupling required for physical accuracy.</w:t>
      </w:r>
    </w:p>
    <w:p>
      <w:r>
        <w:rPr>
          <w:b/>
        </w:rPr>
        <w:t>Design Trade-offs</w:t>
      </w:r>
    </w:p>
    <w:p>
      <w:pPr>
        <w:pStyle w:val="BodyText"/>
      </w:pPr>
      <w:r>
        <w:t>This architecture makes specific trade-offs:</w:t>
      </w:r>
    </w:p>
    <w:p>
      <w:pPr>
        <w:pStyle w:val="ListBullet"/>
      </w:pPr>
      <w:r>
        <w:t>Physical accuracy vs. computational efficiency: 5-minute timesteps capture thermal dynamics accurately but require 288 synchronization cycles, each introducing overhead.</w:t>
      </w:r>
    </w:p>
    <w:p>
      <w:pPr>
        <w:pStyle w:val="ListBullet"/>
      </w:pPr>
      <w:r>
        <w:t>Individual agent modeling vs. batched computation: Preserving agent autonomy (different preferences, locations) complicates vectorization.</w:t>
      </w:r>
    </w:p>
    <w:p>
      <w:pPr>
        <w:pStyle w:val="ListBullet"/>
      </w:pPr>
      <w:r>
        <w:t>Real-time coupling vs. loose coupling: Master-slave synchronization ensures consistency but prevents asynchronous execution that could hide communication latency.</w:t>
      </w:r>
    </w:p>
    <w:p>
      <w:pPr>
        <w:pStyle w:val="ListBullet"/>
      </w:pPr>
      <w:r>
        <w:t>Zone-level aggregation vs. global optimization: Computing minimum setpoint per zone (physically realistic) requires scatter-gather patterns that stress GPU communication.</w:t>
      </w:r>
    </w:p>
    <w:p>
      <w:pPr>
        <w:pStyle w:val="BodyText"/>
      </w:pPr>
      <w:r>
        <w:t>These trade-offs are not failures but conscious design decisions prioritizing simulation accuracy. Section 4 quantifies their computational cost, and Section 5 discusses optimization strategies that maintain accuracy while reducing overhead.</w:t>
      </w:r>
    </w:p>
    <w:p>
      <w:r>
        <w:rPr>
          <w:b/>
        </w:rPr>
        <w:t>Summary: Building Patterns → GPU Bottlenecks</w:t>
      </w:r>
    </w:p>
    <w:p>
      <w:pPr>
        <w:pStyle w:val="BodyText"/>
      </w:pPr>
      <w:r>
        <w:t>To summarize the mapping that drives our profiling analysis: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Building Decision</w:t>
            </w:r>
          </w:p>
        </w:tc>
        <w:tc>
          <w:tcPr>
            <w:tcW w:type="dxa" w:w="2880"/>
          </w:tcPr>
          <w:p>
            <w:r>
              <w:rPr>
                <w:b/>
              </w:rPr>
              <w:t>GPU Manifestation</w:t>
            </w:r>
          </w:p>
        </w:tc>
        <w:tc>
          <w:tcPr>
            <w:tcW w:type="dxa" w:w="2880"/>
          </w:tcPr>
          <w:p>
            <w:r>
              <w:rPr>
                <w:b/>
              </w:rPr>
              <w:t>Profiling Observation</w:t>
            </w:r>
          </w:p>
        </w:tc>
      </w:tr>
      <w:tr>
        <w:tc>
          <w:tcPr>
            <w:tcW w:type="dxa" w:w="2880"/>
          </w:tcPr>
          <w:p>
            <w:r>
              <w:t>1,875 individual agents</w:t>
            </w:r>
          </w:p>
        </w:tc>
        <w:tc>
          <w:tcPr>
            <w:tcW w:type="dxa" w:w="2880"/>
          </w:tcPr>
          <w:p>
            <w:r>
              <w:t>37.5-byte per-agent transfers</w:t>
            </w:r>
          </w:p>
        </w:tc>
        <w:tc>
          <w:tcPr>
            <w:tcW w:type="dxa" w:w="2880"/>
          </w:tcPr>
          <w:p>
            <w:r>
              <w:t>6,289 small H2D operations</w:t>
            </w:r>
          </w:p>
        </w:tc>
      </w:tr>
      <w:tr>
        <w:tc>
          <w:tcPr>
            <w:tcW w:type="dxa" w:w="2880"/>
          </w:tcPr>
          <w:p>
            <w:r>
              <w:t>5-minute timesteps (288/day)</w:t>
            </w:r>
          </w:p>
        </w:tc>
        <w:tc>
          <w:tcPr>
            <w:tcW w:type="dxa" w:w="2880"/>
          </w:tcPr>
          <w:p>
            <w:r>
              <w:t>Forced synchronization each step</w:t>
            </w:r>
          </w:p>
        </w:tc>
        <w:tc>
          <w:tcPr>
            <w:tcW w:type="dxa" w:w="2880"/>
          </w:tcPr>
          <w:p>
            <w:r>
              <w:t>547,393 cudaStreamSynchronize calls (66.3% time)</w:t>
            </w:r>
          </w:p>
        </w:tc>
      </w:tr>
      <w:tr>
        <w:tc>
          <w:tcPr>
            <w:tcW w:type="dxa" w:w="2880"/>
          </w:tcPr>
          <w:p>
            <w:r>
              <w:t>73 thermal zones</w:t>
            </w:r>
          </w:p>
        </w:tc>
        <w:tc>
          <w:tcPr>
            <w:tcW w:type="dxa" w:w="2880"/>
          </w:tcPr>
          <w:p>
            <w:r>
              <w:t>NCCL all-gather for aggregation</w:t>
            </w:r>
          </w:p>
        </w:tc>
        <w:tc>
          <w:tcPr>
            <w:tcW w:type="dxa" w:w="2880"/>
          </w:tcPr>
          <w:p>
            <w:r>
              <w:t>580 AllGather operations (64.4% kernel time)</w:t>
            </w:r>
          </w:p>
        </w:tc>
      </w:tr>
      <w:tr>
        <w:tc>
          <w:tcPr>
            <w:tcW w:type="dxa" w:w="2880"/>
          </w:tcPr>
          <w:p>
            <w:r>
              <w:t>Per-agent decision autonomy</w:t>
            </w:r>
          </w:p>
        </w:tc>
        <w:tc>
          <w:tcPr>
            <w:tcW w:type="dxa" w:w="2880"/>
          </w:tcPr>
          <w:p>
            <w:r>
              <w:t>Sequential tensor operations</w:t>
            </w:r>
          </w:p>
        </w:tc>
        <w:tc>
          <w:tcPr>
            <w:tcW w:type="dxa" w:w="2880"/>
          </w:tcPr>
          <w:p>
            <w:r>
              <w:t>99.995% PCIe bandwidth waste</w:t>
            </w:r>
          </w:p>
        </w:tc>
      </w:tr>
      <w:tr>
        <w:tc>
          <w:tcPr>
            <w:tcW w:type="dxa" w:w="2880"/>
          </w:tcPr>
          <w:p>
            <w:r>
              <w:t>Real-time coupling</w:t>
            </w:r>
          </w:p>
        </w:tc>
        <w:tc>
          <w:tcPr>
            <w:tcW w:type="dxa" w:w="2880"/>
          </w:tcPr>
          <w:p>
            <w:r>
              <w:t>Blocking queue operations</w:t>
            </w:r>
          </w:p>
        </w:tc>
        <w:tc>
          <w:tcPr>
            <w:tcW w:type="dxa" w:w="2880"/>
          </w:tcPr>
          <w:p>
            <w:r>
              <w:t>6.3 seconds CPU waiting (96.2% of OS runtime)</w:t>
            </w:r>
          </w:p>
        </w:tc>
      </w:tr>
    </w:tbl>
    <w:p>
      <w:pPr>
        <w:pStyle w:val="BodyText"/>
      </w:pPr>
      <w:r>
        <w:t>This detailed mapping establishes the foundation for interpreting Section 4's profiling results not as abstract GPU metrics but as direct consequences of building simulation architecture. Optimization strategies (Section 5) must address both domains: restructuring agent operations (building modeling) to enable batched GPU computation (HPC optimization).</w:t>
      </w:r>
    </w:p>
    <w:p>
      <w:pPr>
        <w:pStyle w:val="Heading1"/>
      </w:pPr>
      <w:r>
        <w:t>4. PROFILING METHODOLOGY AND RESULTS</w:t>
      </w:r>
    </w:p>
    <w:p>
      <w:pPr>
        <w:pStyle w:val="BodyText"/>
      </w:pPr>
      <w:r>
        <w:t>This section presents our experimental methodology for profiling Twin-B on the LANTA supercomputer, baseline platform characterization, co-simulation profiling results, and analysis connecting these measurements to the building simulation patterns described in Section 3.4.</w:t>
      </w:r>
    </w:p>
    <w:p>
      <w:pPr>
        <w:pStyle w:val="Heading2"/>
      </w:pPr>
      <w:r>
        <w:t>4.1 Experimental Setup</w:t>
      </w:r>
    </w:p>
    <w:p>
      <w:r>
        <w:rPr>
          <w:b/>
        </w:rPr>
        <w:t>Hardware Platform</w:t>
      </w:r>
    </w:p>
    <w:p>
      <w:pPr>
        <w:pStyle w:val="BodyText"/>
      </w:pPr>
      <w:r>
        <w:t>Experiments were conducted on the ThaiSC LANTA supercomputer (HPE Cray EX) GPU partition. Each GPU node features:</w:t>
        <w:br/>
        <w:t xml:space="preserve">  • 2× NVIDIA A100-SXM4-40GB GPUs (Compute Capability 8.0)</w:t>
        <w:br/>
        <w:t xml:space="preserve">  • AMD EPYC 7713 64-Core Processor</w:t>
        <w:br/>
        <w:t xml:space="preserve">  • CUDA 11.8 with NCCL 2.12 networking backend</w:t>
        <w:br/>
        <w:t xml:space="preserve">  • PCIe Gen4 16x (theoretical 32 GB/s bidirectional)</w:t>
        <w:br/>
        <w:t xml:space="preserve">  • NVLink for GPU-to-GPU communication (400 GB/s)</w:t>
        <w:br/>
        <w:t xml:space="preserve">  • 64 GB system RAM</w:t>
      </w:r>
    </w:p>
    <w:p>
      <w:r>
        <w:rPr>
          <w:b/>
        </w:rPr>
        <w:t>Software Environment</w:t>
      </w:r>
    </w:p>
    <w:p>
      <w:pPr>
        <w:pStyle w:val="BodyText"/>
      </w:pPr>
      <w:r>
        <w:t>The profiling environment consisted of:</w:t>
        <w:br/>
        <w:t xml:space="preserve">  • EnergyPlus 25.1.0 with Python API (pyenergyplus)</w:t>
        <w:br/>
        <w:t xml:space="preserve">  • Mesa 2.1.5 agent-based modeling framework</w:t>
        <w:br/>
        <w:t xml:space="preserve">  • PyTorch 2.2.2 with Distributed Data Parallel (DDP)</w:t>
        <w:br/>
        <w:t xml:space="preserve">  • NVIDIA Nsight Systems 2024.11 for profiling</w:t>
        <w:br/>
        <w:t xml:space="preserve">  • nvidia-smi for power monitoring (1-second sampling)</w:t>
      </w:r>
    </w:p>
    <w:p>
      <w:r>
        <w:rPr>
          <w:b/>
        </w:rPr>
        <w:t>Profiling Configuration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Configuration Parameter</w:t>
            </w:r>
          </w:p>
        </w:tc>
        <w:tc>
          <w:tcPr>
            <w:tcW w:type="dxa" w:w="4320"/>
          </w:tcPr>
          <w:p>
            <w:r>
              <w:rPr>
                <w:b/>
              </w:rPr>
              <w:t>Value</w:t>
            </w:r>
          </w:p>
        </w:tc>
      </w:tr>
      <w:tr>
        <w:tc>
          <w:tcPr>
            <w:tcW w:type="dxa" w:w="4320"/>
          </w:tcPr>
          <w:p>
            <w:r>
              <w:t>Profiling Tool</w:t>
            </w:r>
          </w:p>
        </w:tc>
        <w:tc>
          <w:tcPr>
            <w:tcW w:type="dxa" w:w="4320"/>
          </w:tcPr>
          <w:p>
            <w:r>
              <w:t>NVIDIA Nsight Systems (nsys)</w:t>
            </w:r>
          </w:p>
        </w:tc>
      </w:tr>
      <w:tr>
        <w:tc>
          <w:tcPr>
            <w:tcW w:type="dxa" w:w="4320"/>
          </w:tcPr>
          <w:p>
            <w:r>
              <w:t>SDK Version</w:t>
            </w:r>
          </w:p>
        </w:tc>
        <w:tc>
          <w:tcPr>
            <w:tcW w:type="dxa" w:w="4320"/>
          </w:tcPr>
          <w:p>
            <w:r>
              <w:t>HPC SDK 24.11</w:t>
            </w:r>
          </w:p>
        </w:tc>
      </w:tr>
      <w:tr>
        <w:tc>
          <w:tcPr>
            <w:tcW w:type="dxa" w:w="4320"/>
          </w:tcPr>
          <w:p>
            <w:r>
              <w:t>Trace Options</w:t>
            </w:r>
          </w:p>
        </w:tc>
        <w:tc>
          <w:tcPr>
            <w:tcW w:type="dxa" w:w="4320"/>
          </w:tcPr>
          <w:p>
            <w:r>
              <w:t>cuda, nvtx, osrt, openmp</w:t>
            </w:r>
          </w:p>
        </w:tc>
      </w:tr>
      <w:tr>
        <w:tc>
          <w:tcPr>
            <w:tcW w:type="dxa" w:w="4320"/>
          </w:tcPr>
          <w:p>
            <w:r>
              <w:t>GPU Metrics</w:t>
            </w:r>
          </w:p>
        </w:tc>
        <w:tc>
          <w:tcPr>
            <w:tcW w:type="dxa" w:w="4320"/>
          </w:tcPr>
          <w:p>
            <w:r>
              <w:t>All devices (--gpu-metrics-devices=all)</w:t>
            </w:r>
          </w:p>
        </w:tc>
      </w:tr>
      <w:tr>
        <w:tc>
          <w:tcPr>
            <w:tcW w:type="dxa" w:w="4320"/>
          </w:tcPr>
          <w:p>
            <w:r>
              <w:t>CUDA Memory Tracking</w:t>
            </w:r>
          </w:p>
        </w:tc>
        <w:tc>
          <w:tcPr>
            <w:tcW w:type="dxa" w:w="4320"/>
          </w:tcPr>
          <w:p>
            <w:r>
              <w:t>Enabled (--cuda-memory-usage=true)</w:t>
            </w:r>
          </w:p>
        </w:tc>
      </w:tr>
      <w:tr>
        <w:tc>
          <w:tcPr>
            <w:tcW w:type="dxa" w:w="4320"/>
          </w:tcPr>
          <w:p>
            <w:r>
              <w:t>Job Scheduler</w:t>
            </w:r>
          </w:p>
        </w:tc>
        <w:tc>
          <w:tcPr>
            <w:tcW w:type="dxa" w:w="4320"/>
          </w:tcPr>
          <w:p>
            <w:r>
              <w:t>SLURM with 2 GPUs, 8 CPU cores, 64 GB RAM</w:t>
            </w:r>
          </w:p>
        </w:tc>
      </w:tr>
      <w:tr>
        <w:tc>
          <w:tcPr>
            <w:tcW w:type="dxa" w:w="4320"/>
          </w:tcPr>
          <w:p>
            <w:r>
              <w:t>Simulation Duration</w:t>
            </w:r>
          </w:p>
        </w:tc>
        <w:tc>
          <w:tcPr>
            <w:tcW w:type="dxa" w:w="4320"/>
          </w:tcPr>
          <w:p>
            <w:r>
              <w:t>3 days (72 hours, 288 timesteps × 3)</w:t>
            </w:r>
          </w:p>
        </w:tc>
      </w:tr>
      <w:tr>
        <w:tc>
          <w:tcPr>
            <w:tcW w:type="dxa" w:w="4320"/>
          </w:tcPr>
          <w:p>
            <w:r>
              <w:t>Total Events Collected</w:t>
            </w:r>
          </w:p>
        </w:tc>
        <w:tc>
          <w:tcPr>
            <w:tcW w:type="dxa" w:w="4320"/>
          </w:tcPr>
          <w:p>
            <w:r>
              <w:t>8,011,365</w:t>
            </w:r>
          </w:p>
        </w:tc>
      </w:tr>
      <w:tr>
        <w:tc>
          <w:tcPr>
            <w:tcW w:type="dxa" w:w="4320"/>
          </w:tcPr>
          <w:p>
            <w:r>
              <w:t>Threads Tracked</w:t>
            </w:r>
          </w:p>
        </w:tc>
        <w:tc>
          <w:tcPr>
            <w:tcW w:type="dxa" w:w="4320"/>
          </w:tcPr>
          <w:p>
            <w:r>
              <w:t>56</w:t>
            </w:r>
          </w:p>
        </w:tc>
      </w:tr>
    </w:tbl>
    <w:p/>
    <w:p>
      <w:r>
        <w:rPr>
          <w:b/>
        </w:rPr>
        <w:t>Profiling Procedure</w:t>
      </w:r>
    </w:p>
    <w:p>
      <w:pPr>
        <w:pStyle w:val="BodyText"/>
      </w:pPr>
      <w:r>
        <w:t>The profiling workflow executed:</w:t>
      </w:r>
    </w:p>
    <w:p>
      <w:pPr>
        <w:pStyle w:val="ListNumber"/>
      </w:pPr>
      <w:r>
        <w:t>Load Python environment and EnergyPlus modules</w:t>
      </w:r>
    </w:p>
    <w:p>
      <w:pPr>
        <w:pStyle w:val="ListNumber"/>
      </w:pPr>
      <w:r>
        <w:t>Initialize PyTorch DDP with NCCL backend across 2 GPUs</w:t>
      </w:r>
    </w:p>
    <w:p>
      <w:pPr>
        <w:pStyle w:val="ListNumber"/>
      </w:pPr>
      <w:r>
        <w:t>Launch nsys profiling wrapper around torchrun execution command</w:t>
      </w:r>
    </w:p>
    <w:p>
      <w:pPr>
        <w:pStyle w:val="ListNumber"/>
      </w:pPr>
      <w:r>
        <w:t>Start background nvidia-smi process recording GPU power every 1 second</w:t>
      </w:r>
    </w:p>
    <w:p>
      <w:pPr>
        <w:pStyle w:val="ListNumber"/>
      </w:pPr>
      <w:r>
        <w:t>Execute Twin-B co-simulation for 3-day building operation (864 timesteps total)</w:t>
      </w:r>
    </w:p>
    <w:p>
      <w:pPr>
        <w:pStyle w:val="ListNumber"/>
      </w:pPr>
      <w:r>
        <w:t>Collect comprehensive traces: CUDA API calls, GPU kernels, OS runtime, memory operations</w:t>
      </w:r>
    </w:p>
    <w:p>
      <w:pPr>
        <w:pStyle w:val="ListNumber"/>
      </w:pPr>
      <w:r>
        <w:t>Post-process nsys reports to extract timing, energy, and communication patterns</w:t>
      </w:r>
    </w:p>
    <w:p>
      <w:pPr>
        <w:pStyle w:val="ListNumber"/>
      </w:pPr>
      <w:r>
        <w:t>Analyze correlation between building simulation events and GPU profiling metrics</w:t>
      </w:r>
    </w:p>
    <w:p>
      <w:pPr>
        <w:pStyle w:val="BodyText"/>
      </w:pPr>
      <w:r>
        <w:rPr>
          <w:i/>
        </w:rPr>
        <w:br/>
        <w:t>[Note: This is a partial revision showing the restructuring approach. The complete revision would continue with Sections 4.2-6 following the same principles: remove redundancy, integrate building+HPC narratives, add connective tissue, and merge overlapping sections.]</w:t>
      </w:r>
    </w:p>
    <w:p>
      <w:pPr>
        <w:pStyle w:val="Heading2"/>
      </w:pPr>
      <w:r>
        <w:t>4.2 Platform Baseline Characterization</w:t>
      </w:r>
    </w:p>
    <w:p>
      <w:pPr>
        <w:pStyle w:val="BodyText"/>
      </w:pPr>
      <w:r>
        <w:t>Before profiling Twin-B co-simulation, we establish platform baseline capabilities to provide reference points for interpreting co-simulation performance. We benchmark compute, memory bandwidth, and energy consumption across operation types.</w:t>
      </w:r>
    </w:p>
    <w:p>
      <w:r>
        <w:rPr>
          <w:b/>
        </w:rPr>
        <w:t>Compute Performance</w:t>
      </w:r>
    </w:p>
    <w:p>
      <w:pPr>
        <w:pStyle w:val="BodyText"/>
      </w:pPr>
      <w:r>
        <w:t>We benchmark GPU compute capability using FP32 matrix multiplication operations across varying sizes (1024×1024 to 8192×8192). Each test performs 10 iterations with CUDA synchronization for accurate timing. Results achieve peak performance of 18,835 GFLOPS (96.6% of theoretical 19,500 GFLOPS maximum for A100), demonstrating excellent compute efficiency of 247 GFLOPS/Watt at 76.2W average power consumption during intensive computation.</w:t>
      </w:r>
    </w:p>
    <w:p>
      <w:r>
        <w:rPr>
          <w:b/>
        </w:rPr>
        <w:t>Memory Bandwidth Profiling</w:t>
      </w:r>
    </w:p>
    <w:p>
      <w:pPr>
        <w:pStyle w:val="BodyText"/>
      </w:pPr>
      <w:r>
        <w:t>Memory bandwidth tests reveal critical bottlenecks for co-simulation workloads: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Transfer Type</w:t>
            </w:r>
          </w:p>
        </w:tc>
        <w:tc>
          <w:tcPr>
            <w:tcW w:type="dxa" w:w="1440"/>
          </w:tcPr>
          <w:p>
            <w:r>
              <w:rPr>
                <w:b/>
              </w:rPr>
              <w:t>Size</w:t>
            </w:r>
          </w:p>
        </w:tc>
        <w:tc>
          <w:tcPr>
            <w:tcW w:type="dxa" w:w="1440"/>
          </w:tcPr>
          <w:p>
            <w:r>
              <w:rPr>
                <w:b/>
              </w:rPr>
              <w:t>H2D Bandwidth</w:t>
            </w:r>
          </w:p>
        </w:tc>
        <w:tc>
          <w:tcPr>
            <w:tcW w:type="dxa" w:w="1440"/>
          </w:tcPr>
          <w:p>
            <w:r>
              <w:rPr>
                <w:b/>
              </w:rPr>
              <w:t>D2H Bandwidth</w:t>
            </w:r>
          </w:p>
        </w:tc>
        <w:tc>
          <w:tcPr>
            <w:tcW w:type="dxa" w:w="1440"/>
          </w:tcPr>
          <w:p>
            <w:r>
              <w:rPr>
                <w:b/>
              </w:rPr>
              <w:t>D2D Bandwidth</w:t>
            </w:r>
          </w:p>
        </w:tc>
        <w:tc>
          <w:tcPr>
            <w:tcW w:type="dxa" w:w="1440"/>
          </w:tcPr>
          <w:p>
            <w:r>
              <w:rPr>
                <w:b/>
              </w:rPr>
              <w:t>PCIe Efficiency</w:t>
            </w:r>
          </w:p>
        </w:tc>
      </w:tr>
      <w:tr>
        <w:tc>
          <w:tcPr>
            <w:tcW w:type="dxa" w:w="1440"/>
          </w:tcPr>
          <w:p>
            <w:r>
              <w:t>Large transfers</w:t>
            </w:r>
          </w:p>
        </w:tc>
        <w:tc>
          <w:tcPr>
            <w:tcW w:type="dxa" w:w="1440"/>
          </w:tcPr>
          <w:p>
            <w:r>
              <w:t>1 MB</w:t>
            </w:r>
          </w:p>
        </w:tc>
        <w:tc>
          <w:tcPr>
            <w:tcW w:type="dxa" w:w="1440"/>
          </w:tcPr>
          <w:p>
            <w:r>
              <w:t>9.2 GB/s</w:t>
            </w:r>
          </w:p>
        </w:tc>
        <w:tc>
          <w:tcPr>
            <w:tcW w:type="dxa" w:w="1440"/>
          </w:tcPr>
          <w:p>
            <w:r>
              <w:t>8.1 GB/s</w:t>
            </w:r>
          </w:p>
        </w:tc>
        <w:tc>
          <w:tcPr>
            <w:tcW w:type="dxa" w:w="1440"/>
          </w:tcPr>
          <w:p>
            <w:r>
              <w:t>64.3 GB/s</w:t>
            </w:r>
          </w:p>
        </w:tc>
        <w:tc>
          <w:tcPr>
            <w:tcW w:type="dxa" w:w="1440"/>
          </w:tcPr>
          <w:p>
            <w:r>
              <w:t>29%</w:t>
            </w:r>
          </w:p>
        </w:tc>
      </w:tr>
      <w:tr>
        <w:tc>
          <w:tcPr>
            <w:tcW w:type="dxa" w:w="1440"/>
          </w:tcPr>
          <w:p>
            <w:r>
              <w:t>Small transfers</w:t>
            </w:r>
          </w:p>
        </w:tc>
        <w:tc>
          <w:tcPr>
            <w:tcW w:type="dxa" w:w="1440"/>
          </w:tcPr>
          <w:p>
            <w:r>
              <w:t>37 bytes</w:t>
            </w:r>
          </w:p>
        </w:tc>
        <w:tc>
          <w:tcPr>
            <w:tcW w:type="dxa" w:w="1440"/>
          </w:tcPr>
          <w:p>
            <w:r>
              <w:t>1.64 MB/s</w:t>
            </w:r>
          </w:p>
        </w:tc>
        <w:tc>
          <w:tcPr>
            <w:tcW w:type="dxa" w:w="1440"/>
          </w:tcPr>
          <w:p>
            <w:r>
              <w:t>N/A</w:t>
            </w:r>
          </w:p>
        </w:tc>
        <w:tc>
          <w:tcPr>
            <w:tcW w:type="dxa" w:w="1440"/>
          </w:tcPr>
          <w:p>
            <w:r>
              <w:t>2.0 MB/s</w:t>
            </w:r>
          </w:p>
        </w:tc>
        <w:tc>
          <w:tcPr>
            <w:tcW w:type="dxa" w:w="1440"/>
          </w:tcPr>
          <w:p>
            <w:r>
              <w:t>0.005%</w:t>
            </w:r>
          </w:p>
        </w:tc>
      </w:tr>
      <w:tr>
        <w:tc>
          <w:tcPr>
            <w:tcW w:type="dxa" w:w="1440"/>
          </w:tcPr>
          <w:p>
            <w:r>
              <w:t>Overhead</w:t>
            </w:r>
          </w:p>
        </w:tc>
        <w:tc>
          <w:tcPr>
            <w:tcW w:type="dxa" w:w="1440"/>
          </w:tcPr>
          <w:p>
            <w:r>
              <w:t>37 bytes</w:t>
            </w:r>
          </w:p>
        </w:tc>
        <w:tc>
          <w:tcPr>
            <w:tcW w:type="dxa" w:w="1440"/>
          </w:tcPr>
          <w:p>
            <w:r>
              <w:t>20.89 μs fixed</w:t>
            </w:r>
          </w:p>
        </w:tc>
        <w:tc>
          <w:tcPr>
            <w:tcW w:type="dxa" w:w="1440"/>
          </w:tcPr>
          <w:p>
            <w:r>
              <w:t>-</w:t>
            </w:r>
          </w:p>
        </w:tc>
        <w:tc>
          <w:tcPr>
            <w:tcW w:type="dxa" w:w="1440"/>
          </w:tcPr>
          <w:p>
            <w:r>
              <w:t>-</w:t>
            </w:r>
          </w:p>
        </w:tc>
        <w:tc>
          <w:tcPr>
            <w:tcW w:type="dxa" w:w="1440"/>
          </w:tcPr>
          <w:p>
            <w:r>
              <w:t>99.995% waste</w:t>
            </w:r>
          </w:p>
        </w:tc>
      </w:tr>
    </w:tbl>
    <w:p/>
    <w:p>
      <w:pPr>
        <w:pStyle w:val="BodyText"/>
      </w:pPr>
      <w:r>
        <w:t>The stark contrast between large and small transfer efficiency directly predicts co-simulation performance issues. Small transfers matching the observed 37.5-byte average achieve only 0.005% of peak PCIe bandwidth with fixed 20.89 μs overhead, representing 99.995% bandwidth underutilization. This establishes the theoretical foundation for understanding Section 4.3's profiling results.</w:t>
      </w:r>
    </w:p>
    <w:p>
      <w:r>
        <w:rPr>
          <w:b/>
        </w:rPr>
        <w:t>Energy Profiling by Operation Type</w:t>
      </w:r>
    </w:p>
    <w:p>
      <w:pPr>
        <w:pStyle w:val="BodyText"/>
      </w:pPr>
      <w:r>
        <w:t>We measure power consumption and energy costs for each operation category: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Operation</w:t>
            </w:r>
          </w:p>
        </w:tc>
        <w:tc>
          <w:tcPr>
            <w:tcW w:type="dxa" w:w="1728"/>
          </w:tcPr>
          <w:p>
            <w:r>
              <w:rPr>
                <w:b/>
              </w:rPr>
              <w:t>Avg Power (W)</w:t>
            </w:r>
          </w:p>
        </w:tc>
        <w:tc>
          <w:tcPr>
            <w:tcW w:type="dxa" w:w="1728"/>
          </w:tcPr>
          <w:p>
            <w:r>
              <w:rPr>
                <w:b/>
              </w:rPr>
              <w:t>Duration (s)</w:t>
            </w:r>
          </w:p>
        </w:tc>
        <w:tc>
          <w:tcPr>
            <w:tcW w:type="dxa" w:w="1728"/>
          </w:tcPr>
          <w:p>
            <w:r>
              <w:rPr>
                <w:b/>
              </w:rPr>
              <w:t>Total Energy (J)</w:t>
            </w:r>
          </w:p>
        </w:tc>
        <w:tc>
          <w:tcPr>
            <w:tcW w:type="dxa" w:w="1728"/>
          </w:tcPr>
          <w:p>
            <w:r>
              <w:rPr>
                <w:b/>
              </w:rPr>
              <w:t>Energy/Operation</w:t>
            </w:r>
          </w:p>
        </w:tc>
      </w:tr>
      <w:tr>
        <w:tc>
          <w:tcPr>
            <w:tcW w:type="dxa" w:w="1728"/>
          </w:tcPr>
          <w:p>
            <w:r>
              <w:t>Compute (intensive)</w:t>
            </w:r>
          </w:p>
        </w:tc>
        <w:tc>
          <w:tcPr>
            <w:tcW w:type="dxa" w:w="1728"/>
          </w:tcPr>
          <w:p>
            <w:r>
              <w:t>76.2</w:t>
            </w:r>
          </w:p>
        </w:tc>
        <w:tc>
          <w:tcPr>
            <w:tcW w:type="dxa" w:w="1728"/>
          </w:tcPr>
          <w:p>
            <w:r>
              <w:t>6.02</w:t>
            </w:r>
          </w:p>
        </w:tc>
        <w:tc>
          <w:tcPr>
            <w:tcW w:type="dxa" w:w="1728"/>
          </w:tcPr>
          <w:p>
            <w:r>
              <w:t>458.7</w:t>
            </w:r>
          </w:p>
        </w:tc>
        <w:tc>
          <w:tcPr>
            <w:tcW w:type="dxa" w:w="1728"/>
          </w:tcPr>
          <w:p>
            <w:r>
              <w:t>159 mJ per kernel</w:t>
            </w:r>
          </w:p>
        </w:tc>
      </w:tr>
      <w:tr>
        <w:tc>
          <w:tcPr>
            <w:tcW w:type="dxa" w:w="1728"/>
          </w:tcPr>
          <w:p>
            <w:r>
              <w:t>Small transfers</w:t>
            </w:r>
          </w:p>
        </w:tc>
        <w:tc>
          <w:tcPr>
            <w:tcW w:type="dxa" w:w="1728"/>
          </w:tcPr>
          <w:p>
            <w:r>
              <w:t>56.5</w:t>
            </w:r>
          </w:p>
        </w:tc>
        <w:tc>
          <w:tcPr>
            <w:tcW w:type="dxa" w:w="1728"/>
          </w:tcPr>
          <w:p>
            <w:r>
              <w:t>5.02</w:t>
            </w:r>
          </w:p>
        </w:tc>
        <w:tc>
          <w:tcPr>
            <w:tcW w:type="dxa" w:w="1728"/>
          </w:tcPr>
          <w:p>
            <w:r>
              <w:t>283.7</w:t>
            </w:r>
          </w:p>
        </w:tc>
        <w:tc>
          <w:tcPr>
            <w:tcW w:type="dxa" w:w="1728"/>
          </w:tcPr>
          <w:p>
            <w:r>
              <w:t>45.1 mJ per 37B transfer</w:t>
            </w:r>
          </w:p>
        </w:tc>
      </w:tr>
      <w:tr>
        <w:tc>
          <w:tcPr>
            <w:tcW w:type="dxa" w:w="1728"/>
          </w:tcPr>
          <w:p>
            <w:r>
              <w:t>Large bandwidth</w:t>
            </w:r>
          </w:p>
        </w:tc>
        <w:tc>
          <w:tcPr>
            <w:tcW w:type="dxa" w:w="1728"/>
          </w:tcPr>
          <w:p>
            <w:r>
              <w:t>58.0</w:t>
            </w:r>
          </w:p>
        </w:tc>
        <w:tc>
          <w:tcPr>
            <w:tcW w:type="dxa" w:w="1728"/>
          </w:tcPr>
          <w:p>
            <w:r>
              <w:t>6.02</w:t>
            </w:r>
          </w:p>
        </w:tc>
        <w:tc>
          <w:tcPr>
            <w:tcW w:type="dxa" w:w="1728"/>
          </w:tcPr>
          <w:p>
            <w:r>
              <w:t>349.3</w:t>
            </w:r>
          </w:p>
        </w:tc>
        <w:tc>
          <w:tcPr>
            <w:tcW w:type="dxa" w:w="1728"/>
          </w:tcPr>
          <w:p>
            <w:r>
              <w:t>38 mJ per 1MB transfer</w:t>
            </w:r>
          </w:p>
        </w:tc>
      </w:tr>
      <w:tr>
        <w:tc>
          <w:tcPr>
            <w:tcW w:type="dxa" w:w="1728"/>
          </w:tcPr>
          <w:p>
            <w:r>
              <w:t>NCCL communication</w:t>
            </w:r>
          </w:p>
        </w:tc>
        <w:tc>
          <w:tcPr>
            <w:tcW w:type="dxa" w:w="1728"/>
          </w:tcPr>
          <w:p>
            <w:r>
              <w:t>55.7</w:t>
            </w:r>
          </w:p>
        </w:tc>
        <w:tc>
          <w:tcPr>
            <w:tcW w:type="dxa" w:w="1728"/>
          </w:tcPr>
          <w:p>
            <w:r>
              <w:t>14.02</w:t>
            </w:r>
          </w:p>
        </w:tc>
        <w:tc>
          <w:tcPr>
            <w:tcW w:type="dxa" w:w="1728"/>
          </w:tcPr>
          <w:p>
            <w:r>
              <w:t>781.7</w:t>
            </w:r>
          </w:p>
        </w:tc>
        <w:tc>
          <w:tcPr>
            <w:tcW w:type="dxa" w:w="1728"/>
          </w:tcPr>
          <w:p>
            <w:r>
              <w:t>675 mJ per collective</w:t>
            </w:r>
          </w:p>
        </w:tc>
      </w:tr>
      <w:tr>
        <w:tc>
          <w:tcPr>
            <w:tcW w:type="dxa" w:w="1728"/>
          </w:tcPr>
          <w:p>
            <w:r>
              <w:t>Mixed workload</w:t>
            </w:r>
          </w:p>
        </w:tc>
        <w:tc>
          <w:tcPr>
            <w:tcW w:type="dxa" w:w="1728"/>
          </w:tcPr>
          <w:p>
            <w:r>
              <w:t>78.4</w:t>
            </w:r>
          </w:p>
        </w:tc>
        <w:tc>
          <w:tcPr>
            <w:tcW w:type="dxa" w:w="1728"/>
          </w:tcPr>
          <w:p>
            <w:r>
              <w:t>6.02</w:t>
            </w:r>
          </w:p>
        </w:tc>
        <w:tc>
          <w:tcPr>
            <w:tcW w:type="dxa" w:w="1728"/>
          </w:tcPr>
          <w:p>
            <w:r>
              <w:t>472.0</w:t>
            </w:r>
          </w:p>
        </w:tc>
        <w:tc>
          <w:tcPr>
            <w:tcW w:type="dxa" w:w="1728"/>
          </w:tcPr>
          <w:p>
            <w:r>
              <w:t>-</w:t>
            </w:r>
          </w:p>
        </w:tc>
      </w:tr>
    </w:tbl>
    <w:p/>
    <w:p>
      <w:pPr>
        <w:pStyle w:val="BodyText"/>
      </w:pPr>
      <w:r>
        <w:t>Small transfer energy cost (45.1 mJ per 37-byte transfer) is remarkably high given the tiny data volume—equivalent to executing 1.13 million FP32 operations. This reflects the fixed overhead of PCIe communication, CPU-GPU coordination, and forced synchronization. For Twin-B's 6,289 observed transfers, this translates to 283.7 J total energy cost for moving just 236 KB of data.</w:t>
      </w:r>
    </w:p>
    <w:p>
      <w:pPr>
        <w:pStyle w:val="Heading2"/>
      </w:pPr>
      <w:r>
        <w:t>4.3 Twin-B Co-Simulation Profiling Results</w:t>
      </w:r>
    </w:p>
    <w:p>
      <w:pPr>
        <w:pStyle w:val="BodyText"/>
      </w:pPr>
      <w:r>
        <w:t>We now present profiling results from executing Twin-B for a 3-day building simulation (864 total timesteps across 73 zones with 1,875 agents). Profiling captures complete system behavior: CUDA API calls, GPU kernels, memory operations, and OS runtime.</w:t>
      </w:r>
    </w:p>
    <w:p>
      <w:r>
        <w:rPr>
          <w:b/>
        </w:rPr>
        <w:t>CUDA API Time Distribution</w:t>
      </w:r>
    </w:p>
    <w:p>
      <w:pPr>
        <w:pStyle w:val="BodyText"/>
      </w:pPr>
      <w:r>
        <w:t>CUDA API profiling reveals severe synchronization overhead dominating execution time: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API Call</w:t>
            </w:r>
          </w:p>
        </w:tc>
        <w:tc>
          <w:tcPr>
            <w:tcW w:type="dxa" w:w="1440"/>
          </w:tcPr>
          <w:p>
            <w:r>
              <w:rPr>
                <w:b/>
              </w:rPr>
              <w:t>Time (%)</w:t>
            </w:r>
          </w:p>
        </w:tc>
        <w:tc>
          <w:tcPr>
            <w:tcW w:type="dxa" w:w="1440"/>
          </w:tcPr>
          <w:p>
            <w:r>
              <w:rPr>
                <w:b/>
              </w:rPr>
              <w:t>Total Time (s)</w:t>
            </w:r>
          </w:p>
        </w:tc>
        <w:tc>
          <w:tcPr>
            <w:tcW w:type="dxa" w:w="1440"/>
          </w:tcPr>
          <w:p>
            <w:r>
              <w:rPr>
                <w:b/>
              </w:rPr>
              <w:t>Num Calls</w:t>
            </w:r>
          </w:p>
        </w:tc>
        <w:tc>
          <w:tcPr>
            <w:tcW w:type="dxa" w:w="1440"/>
          </w:tcPr>
          <w:p>
            <w:r>
              <w:rPr>
                <w:b/>
              </w:rPr>
              <w:t>Avg Time (μs)</w:t>
            </w:r>
          </w:p>
        </w:tc>
        <w:tc>
          <w:tcPr>
            <w:tcW w:type="dxa" w:w="1440"/>
          </w:tcPr>
          <w:p>
            <w:r>
              <w:rPr>
                <w:b/>
              </w:rPr>
              <w:t>Analysis</w:t>
            </w:r>
          </w:p>
        </w:tc>
      </w:tr>
      <w:tr>
        <w:tc>
          <w:tcPr>
            <w:tcW w:type="dxa" w:w="1440"/>
          </w:tcPr>
          <w:p>
            <w:r>
              <w:t>cudaStreamSynchronize</w:t>
            </w:r>
          </w:p>
        </w:tc>
        <w:tc>
          <w:tcPr>
            <w:tcW w:type="dxa" w:w="1440"/>
          </w:tcPr>
          <w:p>
            <w:r>
              <w:t>66.3</w:t>
            </w:r>
          </w:p>
        </w:tc>
        <w:tc>
          <w:tcPr>
            <w:tcW w:type="dxa" w:w="1440"/>
          </w:tcPr>
          <w:p>
            <w:r>
              <w:t>4.49</w:t>
            </w:r>
          </w:p>
        </w:tc>
        <w:tc>
          <w:tcPr>
            <w:tcW w:type="dxa" w:w="1440"/>
          </w:tcPr>
          <w:p>
            <w:r>
              <w:t>547,393</w:t>
            </w:r>
          </w:p>
        </w:tc>
        <w:tc>
          <w:tcPr>
            <w:tcW w:type="dxa" w:w="1440"/>
          </w:tcPr>
          <w:p>
            <w:r>
              <w:t>8.2</w:t>
            </w:r>
          </w:p>
        </w:tc>
        <w:tc>
          <w:tcPr>
            <w:tcW w:type="dxa" w:w="1440"/>
          </w:tcPr>
          <w:p>
            <w:r>
              <w:t>Blocking after every small transfer</w:t>
            </w:r>
          </w:p>
        </w:tc>
      </w:tr>
      <w:tr>
        <w:tc>
          <w:tcPr>
            <w:tcW w:type="dxa" w:w="1440"/>
          </w:tcPr>
          <w:p>
            <w:r>
              <w:t>cudaMemcpyAsync</w:t>
            </w:r>
          </w:p>
        </w:tc>
        <w:tc>
          <w:tcPr>
            <w:tcW w:type="dxa" w:w="1440"/>
          </w:tcPr>
          <w:p>
            <w:r>
              <w:t>29.8</w:t>
            </w:r>
          </w:p>
        </w:tc>
        <w:tc>
          <w:tcPr>
            <w:tcW w:type="dxa" w:w="1440"/>
          </w:tcPr>
          <w:p>
            <w:r>
              <w:t>2.02</w:t>
            </w:r>
          </w:p>
        </w:tc>
        <w:tc>
          <w:tcPr>
            <w:tcW w:type="dxa" w:w="1440"/>
          </w:tcPr>
          <w:p>
            <w:r>
              <w:t>548,037</w:t>
            </w:r>
          </w:p>
        </w:tc>
        <w:tc>
          <w:tcPr>
            <w:tcW w:type="dxa" w:w="1440"/>
          </w:tcPr>
          <w:p>
            <w:r>
              <w:t>3.7</w:t>
            </w:r>
          </w:p>
        </w:tc>
        <w:tc>
          <w:tcPr>
            <w:tcW w:type="dxa" w:w="1440"/>
          </w:tcPr>
          <w:p>
            <w:r>
              <w:t>Async memcpy overhead</w:t>
            </w:r>
          </w:p>
        </w:tc>
      </w:tr>
      <w:tr>
        <w:tc>
          <w:tcPr>
            <w:tcW w:type="dxa" w:w="1440"/>
          </w:tcPr>
          <w:p>
            <w:r>
              <w:t>cudaLaunchKernel</w:t>
            </w:r>
          </w:p>
        </w:tc>
        <w:tc>
          <w:tcPr>
            <w:tcW w:type="dxa" w:w="1440"/>
          </w:tcPr>
          <w:p>
            <w:r>
              <w:t>1.2</w:t>
            </w:r>
          </w:p>
        </w:tc>
        <w:tc>
          <w:tcPr>
            <w:tcW w:type="dxa" w:w="1440"/>
          </w:tcPr>
          <w:p>
            <w:r>
              <w:t>0.084</w:t>
            </w:r>
          </w:p>
        </w:tc>
        <w:tc>
          <w:tcPr>
            <w:tcW w:type="dxa" w:w="1440"/>
          </w:tcPr>
          <w:p>
            <w:r>
              <w:t>2,886</w:t>
            </w:r>
          </w:p>
        </w:tc>
        <w:tc>
          <w:tcPr>
            <w:tcW w:type="dxa" w:w="1440"/>
          </w:tcPr>
          <w:p>
            <w:r>
              <w:t>29.1</w:t>
            </w:r>
          </w:p>
        </w:tc>
        <w:tc>
          <w:tcPr>
            <w:tcW w:type="dxa" w:w="1440"/>
          </w:tcPr>
          <w:p>
            <w:r>
              <w:t>GPU kernel launches</w:t>
            </w:r>
          </w:p>
        </w:tc>
      </w:tr>
      <w:tr>
        <w:tc>
          <w:tcPr>
            <w:tcW w:type="dxa" w:w="1440"/>
          </w:tcPr>
          <w:p>
            <w:r>
              <w:t>cuMemExportToShareableHandle</w:t>
            </w:r>
          </w:p>
        </w:tc>
        <w:tc>
          <w:tcPr>
            <w:tcW w:type="dxa" w:w="1440"/>
          </w:tcPr>
          <w:p>
            <w:r>
              <w:t>0.7</w:t>
            </w:r>
          </w:p>
        </w:tc>
        <w:tc>
          <w:tcPr>
            <w:tcW w:type="dxa" w:w="1440"/>
          </w:tcPr>
          <w:p>
            <w:r>
              <w:t>0.050</w:t>
            </w:r>
          </w:p>
        </w:tc>
        <w:tc>
          <w:tcPr>
            <w:tcW w:type="dxa" w:w="1440"/>
          </w:tcPr>
          <w:p>
            <w:r>
              <w:t>32</w:t>
            </w:r>
          </w:p>
        </w:tc>
        <w:tc>
          <w:tcPr>
            <w:tcW w:type="dxa" w:w="1440"/>
          </w:tcPr>
          <w:p>
            <w:r>
              <w:t>1,562</w:t>
            </w:r>
          </w:p>
        </w:tc>
        <w:tc>
          <w:tcPr>
            <w:tcW w:type="dxa" w:w="1440"/>
          </w:tcPr>
          <w:p>
            <w:r>
              <w:t>NCCL shared memory setup</w:t>
            </w:r>
          </w:p>
        </w:tc>
      </w:tr>
      <w:tr>
        <w:tc>
          <w:tcPr>
            <w:tcW w:type="dxa" w:w="1440"/>
          </w:tcPr>
          <w:p>
            <w:r>
              <w:t>Other</w:t>
            </w:r>
          </w:p>
        </w:tc>
        <w:tc>
          <w:tcPr>
            <w:tcW w:type="dxa" w:w="1440"/>
          </w:tcPr>
          <w:p>
            <w:r>
              <w:t>2.0</w:t>
            </w:r>
          </w:p>
        </w:tc>
        <w:tc>
          <w:tcPr>
            <w:tcW w:type="dxa" w:w="1440"/>
          </w:tcPr>
          <w:p>
            <w:r>
              <w:t>0.136</w:t>
            </w:r>
          </w:p>
        </w:tc>
        <w:tc>
          <w:tcPr>
            <w:tcW w:type="dxa" w:w="1440"/>
          </w:tcPr>
          <w:p>
            <w:r>
              <w:t>-</w:t>
            </w:r>
          </w:p>
        </w:tc>
        <w:tc>
          <w:tcPr>
            <w:tcW w:type="dxa" w:w="1440"/>
          </w:tcPr>
          <w:p>
            <w:r>
              <w:t>-</w:t>
            </w:r>
          </w:p>
        </w:tc>
        <w:tc>
          <w:tcPr>
            <w:tcW w:type="dxa" w:w="1440"/>
          </w:tcPr>
          <w:p>
            <w:r>
              <w:t>Miscellaneous API calls</w:t>
            </w:r>
          </w:p>
        </w:tc>
      </w:tr>
    </w:tbl>
    <w:p/>
    <w:p>
      <w:pPr>
        <w:pStyle w:val="BodyText"/>
      </w:pPr>
      <w:r>
        <w:t>cudaStreamSynchronize dominates with 66.3% of CUDA API time—4.49 seconds across 547,393 calls averaging 8.2 μs each. This is NOT latency but systematic blocking behavior. As explained in Section 3.4, each agent decision requires CPU-GPU synchronization, and with 1,875 agents × 288 timesteps = 540,000+ synchronization opportunities, the observed frequency matches architectural expectations.</w:t>
      </w:r>
    </w:p>
    <w:p>
      <w:r>
        <w:rPr>
          <w:b/>
        </w:rPr>
        <w:t>Memory Transfer Patterns</w:t>
      </w:r>
    </w:p>
    <w:p>
      <w:pPr>
        <w:pStyle w:val="BodyText"/>
      </w:pPr>
      <w:r>
        <w:t>Memory transfer profiling confirms the small-transfer bottleneck predicted by baseline characterization:</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Transfer Type</w:t>
            </w:r>
          </w:p>
        </w:tc>
        <w:tc>
          <w:tcPr>
            <w:tcW w:type="dxa" w:w="1440"/>
          </w:tcPr>
          <w:p>
            <w:r>
              <w:rPr>
                <w:b/>
              </w:rPr>
              <w:t>Count</w:t>
            </w:r>
          </w:p>
        </w:tc>
        <w:tc>
          <w:tcPr>
            <w:tcW w:type="dxa" w:w="1440"/>
          </w:tcPr>
          <w:p>
            <w:r>
              <w:rPr>
                <w:b/>
              </w:rPr>
              <w:t>Total Size (MB)</w:t>
            </w:r>
          </w:p>
        </w:tc>
        <w:tc>
          <w:tcPr>
            <w:tcW w:type="dxa" w:w="1440"/>
          </w:tcPr>
          <w:p>
            <w:r>
              <w:rPr>
                <w:b/>
              </w:rPr>
              <w:t>Avg Size (bytes)</w:t>
            </w:r>
          </w:p>
        </w:tc>
        <w:tc>
          <w:tcPr>
            <w:tcW w:type="dxa" w:w="1440"/>
          </w:tcPr>
          <w:p>
            <w:r>
              <w:rPr>
                <w:b/>
              </w:rPr>
              <w:t>Total Time (ms)</w:t>
            </w:r>
          </w:p>
        </w:tc>
        <w:tc>
          <w:tcPr>
            <w:tcW w:type="dxa" w:w="1440"/>
          </w:tcPr>
          <w:p>
            <w:r>
              <w:rPr>
                <w:b/>
              </w:rPr>
              <w:t>Avg Time (μs)</w:t>
            </w:r>
          </w:p>
        </w:tc>
      </w:tr>
      <w:tr>
        <w:tc>
          <w:tcPr>
            <w:tcW w:type="dxa" w:w="1440"/>
          </w:tcPr>
          <w:p>
            <w:r>
              <w:t>Host-to-Device</w:t>
            </w:r>
          </w:p>
        </w:tc>
        <w:tc>
          <w:tcPr>
            <w:tcW w:type="dxa" w:w="1440"/>
          </w:tcPr>
          <w:p>
            <w:r>
              <w:t>6,289</w:t>
            </w:r>
          </w:p>
        </w:tc>
        <w:tc>
          <w:tcPr>
            <w:tcW w:type="dxa" w:w="1440"/>
          </w:tcPr>
          <w:p>
            <w:r>
              <w:t>0.236</w:t>
            </w:r>
          </w:p>
        </w:tc>
        <w:tc>
          <w:tcPr>
            <w:tcW w:type="dxa" w:w="1440"/>
          </w:tcPr>
          <w:p>
            <w:r>
              <w:t>37.5</w:t>
            </w:r>
          </w:p>
        </w:tc>
        <w:tc>
          <w:tcPr>
            <w:tcW w:type="dxa" w:w="1440"/>
          </w:tcPr>
          <w:p>
            <w:r>
              <w:t>8.6</w:t>
            </w:r>
          </w:p>
        </w:tc>
        <w:tc>
          <w:tcPr>
            <w:tcW w:type="dxa" w:w="1440"/>
          </w:tcPr>
          <w:p>
            <w:r>
              <w:t>1.37</w:t>
            </w:r>
          </w:p>
        </w:tc>
      </w:tr>
      <w:tr>
        <w:tc>
          <w:tcPr>
            <w:tcW w:type="dxa" w:w="1440"/>
          </w:tcPr>
          <w:p>
            <w:r>
              <w:t>Device-to-Host</w:t>
            </w:r>
          </w:p>
        </w:tc>
        <w:tc>
          <w:tcPr>
            <w:tcW w:type="dxa" w:w="1440"/>
          </w:tcPr>
          <w:p>
            <w:r>
              <w:t>540,594</w:t>
            </w:r>
          </w:p>
        </w:tc>
        <w:tc>
          <w:tcPr>
            <w:tcW w:type="dxa" w:w="1440"/>
          </w:tcPr>
          <w:p>
            <w:r>
              <w:t>2.32</w:t>
            </w:r>
          </w:p>
        </w:tc>
        <w:tc>
          <w:tcPr>
            <w:tcW w:type="dxa" w:w="1440"/>
          </w:tcPr>
          <w:p>
            <w:r>
              <w:t>4.5</w:t>
            </w:r>
          </w:p>
        </w:tc>
        <w:tc>
          <w:tcPr>
            <w:tcW w:type="dxa" w:w="1440"/>
          </w:tcPr>
          <w:p>
            <w:r>
              <w:t>955.2</w:t>
            </w:r>
          </w:p>
        </w:tc>
        <w:tc>
          <w:tcPr>
            <w:tcW w:type="dxa" w:w="1440"/>
          </w:tcPr>
          <w:p>
            <w:r>
              <w:t>1.77</w:t>
            </w:r>
          </w:p>
        </w:tc>
      </w:tr>
      <w:tr>
        <w:tc>
          <w:tcPr>
            <w:tcW w:type="dxa" w:w="1440"/>
          </w:tcPr>
          <w:p>
            <w:r>
              <w:t>Device-to-Device</w:t>
            </w:r>
          </w:p>
        </w:tc>
        <w:tc>
          <w:tcPr>
            <w:tcW w:type="dxa" w:w="1440"/>
          </w:tcPr>
          <w:p>
            <w:r>
              <w:t>1,160</w:t>
            </w:r>
          </w:p>
        </w:tc>
        <w:tc>
          <w:tcPr>
            <w:tcW w:type="dxa" w:w="1440"/>
          </w:tcPr>
          <w:p>
            <w:r>
              <w:t>0.323</w:t>
            </w:r>
          </w:p>
        </w:tc>
        <w:tc>
          <w:tcPr>
            <w:tcW w:type="dxa" w:w="1440"/>
          </w:tcPr>
          <w:p>
            <w:r>
              <w:t>285</w:t>
            </w:r>
          </w:p>
        </w:tc>
        <w:tc>
          <w:tcPr>
            <w:tcW w:type="dxa" w:w="1440"/>
          </w:tcPr>
          <w:p>
            <w:r>
              <w:t>2.5</w:t>
            </w:r>
          </w:p>
        </w:tc>
        <w:tc>
          <w:tcPr>
            <w:tcW w:type="dxa" w:w="1440"/>
          </w:tcPr>
          <w:p>
            <w:r>
              <w:t>2.19</w:t>
            </w:r>
          </w:p>
        </w:tc>
      </w:tr>
      <w:tr>
        <w:tc>
          <w:tcPr>
            <w:tcW w:type="dxa" w:w="1440"/>
          </w:tcPr>
          <w:p>
            <w:r>
              <w:t>Memset</w:t>
            </w:r>
          </w:p>
        </w:tc>
        <w:tc>
          <w:tcPr>
            <w:tcW w:type="dxa" w:w="1440"/>
          </w:tcPr>
          <w:p>
            <w:r>
              <w:t>52</w:t>
            </w:r>
          </w:p>
        </w:tc>
        <w:tc>
          <w:tcPr>
            <w:tcW w:type="dxa" w:w="1440"/>
          </w:tcPr>
          <w:p>
            <w:r>
              <w:t>0.068</w:t>
            </w:r>
          </w:p>
        </w:tc>
        <w:tc>
          <w:tcPr>
            <w:tcW w:type="dxa" w:w="1440"/>
          </w:tcPr>
          <w:p>
            <w:r>
              <w:t>1,300</w:t>
            </w:r>
          </w:p>
        </w:tc>
        <w:tc>
          <w:tcPr>
            <w:tcW w:type="dxa" w:w="1440"/>
          </w:tcPr>
          <w:p>
            <w:r>
              <w:t>0.093</w:t>
            </w:r>
          </w:p>
        </w:tc>
        <w:tc>
          <w:tcPr>
            <w:tcW w:type="dxa" w:w="1440"/>
          </w:tcPr>
          <w:p>
            <w:r>
              <w:t>1.78</w:t>
            </w:r>
          </w:p>
        </w:tc>
      </w:tr>
    </w:tbl>
    <w:p/>
    <w:p>
      <w:pPr>
        <w:pStyle w:val="BodyText"/>
      </w:pPr>
      <w:r>
        <w:t>The 37.5-byte average H2D transfer size precisely matches the per-agent data structure described in Section 3.4 (25-40 bytes depending on padding). The 6,289 transfer count, combined with 540,594 D2H transfers, indicates per-agent processing rather than batched vectorization. This pattern wastes 99.995% of available PCIe bandwidth as established in baseline measurements.</w:t>
      </w:r>
    </w:p>
    <w:p>
      <w:r>
        <w:rPr>
          <w:b/>
        </w:rPr>
        <w:t>GPU Kernel Analysis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Kernel Type</w:t>
            </w:r>
          </w:p>
        </w:tc>
        <w:tc>
          <w:tcPr>
            <w:tcW w:type="dxa" w:w="1728"/>
          </w:tcPr>
          <w:p>
            <w:r>
              <w:rPr>
                <w:b/>
              </w:rPr>
              <w:t>Time (%)</w:t>
            </w:r>
          </w:p>
        </w:tc>
        <w:tc>
          <w:tcPr>
            <w:tcW w:type="dxa" w:w="1728"/>
          </w:tcPr>
          <w:p>
            <w:r>
              <w:rPr>
                <w:b/>
              </w:rPr>
              <w:t>Total Time (ms)</w:t>
            </w:r>
          </w:p>
        </w:tc>
        <w:tc>
          <w:tcPr>
            <w:tcW w:type="dxa" w:w="1728"/>
          </w:tcPr>
          <w:p>
            <w:r>
              <w:rPr>
                <w:b/>
              </w:rPr>
              <w:t>Instances</w:t>
            </w:r>
          </w:p>
        </w:tc>
        <w:tc>
          <w:tcPr>
            <w:tcW w:type="dxa" w:w="1728"/>
          </w:tcPr>
          <w:p>
            <w:r>
              <w:rPr>
                <w:b/>
              </w:rPr>
              <w:t>Avg Time (μs)</w:t>
            </w:r>
          </w:p>
        </w:tc>
      </w:tr>
      <w:tr>
        <w:tc>
          <w:tcPr>
            <w:tcW w:type="dxa" w:w="1728"/>
          </w:tcPr>
          <w:p>
            <w:r>
              <w:t>NCCL AllGather (RING_LL)</w:t>
            </w:r>
          </w:p>
        </w:tc>
        <w:tc>
          <w:tcPr>
            <w:tcW w:type="dxa" w:w="1728"/>
          </w:tcPr>
          <w:p>
            <w:r>
              <w:t>36.5</w:t>
            </w:r>
          </w:p>
        </w:tc>
        <w:tc>
          <w:tcPr>
            <w:tcW w:type="dxa" w:w="1728"/>
          </w:tcPr>
          <w:p>
            <w:r>
              <w:t>9.83</w:t>
            </w:r>
          </w:p>
        </w:tc>
        <w:tc>
          <w:tcPr>
            <w:tcW w:type="dxa" w:w="1728"/>
          </w:tcPr>
          <w:p>
            <w:r>
              <w:t>580</w:t>
            </w:r>
          </w:p>
        </w:tc>
        <w:tc>
          <w:tcPr>
            <w:tcW w:type="dxa" w:w="1728"/>
          </w:tcPr>
          <w:p>
            <w:r>
              <w:t>16.9</w:t>
            </w:r>
          </w:p>
        </w:tc>
      </w:tr>
      <w:tr>
        <w:tc>
          <w:tcPr>
            <w:tcW w:type="dxa" w:w="1728"/>
          </w:tcPr>
          <w:p>
            <w:r>
              <w:t>NCCL AllReduce Sum f32 (RING_LL)</w:t>
            </w:r>
          </w:p>
        </w:tc>
        <w:tc>
          <w:tcPr>
            <w:tcW w:type="dxa" w:w="1728"/>
          </w:tcPr>
          <w:p>
            <w:r>
              <w:t>30.2</w:t>
            </w:r>
          </w:p>
        </w:tc>
        <w:tc>
          <w:tcPr>
            <w:tcW w:type="dxa" w:w="1728"/>
          </w:tcPr>
          <w:p>
            <w:r>
              <w:t>8.13</w:t>
            </w:r>
          </w:p>
        </w:tc>
        <w:tc>
          <w:tcPr>
            <w:tcW w:type="dxa" w:w="1728"/>
          </w:tcPr>
          <w:p>
            <w:r>
              <w:t>578</w:t>
            </w:r>
          </w:p>
        </w:tc>
        <w:tc>
          <w:tcPr>
            <w:tcW w:type="dxa" w:w="1728"/>
          </w:tcPr>
          <w:p>
            <w:r>
              <w:t>14.1</w:t>
            </w:r>
          </w:p>
        </w:tc>
      </w:tr>
      <w:tr>
        <w:tc>
          <w:tcPr>
            <w:tcW w:type="dxa" w:w="1728"/>
          </w:tcPr>
          <w:p>
            <w:r>
              <w:t>PyTorch Reduce (MinOps)</w:t>
            </w:r>
          </w:p>
        </w:tc>
        <w:tc>
          <w:tcPr>
            <w:tcW w:type="dxa" w:w="1728"/>
          </w:tcPr>
          <w:p>
            <w:r>
              <w:t>13.4</w:t>
            </w:r>
          </w:p>
        </w:tc>
        <w:tc>
          <w:tcPr>
            <w:tcW w:type="dxa" w:w="1728"/>
          </w:tcPr>
          <w:p>
            <w:r>
              <w:t>3.61</w:t>
            </w:r>
          </w:p>
        </w:tc>
        <w:tc>
          <w:tcPr>
            <w:tcW w:type="dxa" w:w="1728"/>
          </w:tcPr>
          <w:p>
            <w:r>
              <w:t>576</w:t>
            </w:r>
          </w:p>
        </w:tc>
        <w:tc>
          <w:tcPr>
            <w:tcW w:type="dxa" w:w="1728"/>
          </w:tcPr>
          <w:p>
            <w:r>
              <w:t>6.3</w:t>
            </w:r>
          </w:p>
        </w:tc>
      </w:tr>
      <w:tr>
        <w:tc>
          <w:tcPr>
            <w:tcW w:type="dxa" w:w="1728"/>
          </w:tcPr>
          <w:p>
            <w:r>
              <w:t>PyTorch Fill</w:t>
            </w:r>
          </w:p>
        </w:tc>
        <w:tc>
          <w:tcPr>
            <w:tcW w:type="dxa" w:w="1728"/>
          </w:tcPr>
          <w:p>
            <w:r>
              <w:t>13.1</w:t>
            </w:r>
          </w:p>
        </w:tc>
        <w:tc>
          <w:tcPr>
            <w:tcW w:type="dxa" w:w="1728"/>
          </w:tcPr>
          <w:p>
            <w:r>
              <w:t>3.53</w:t>
            </w:r>
          </w:p>
        </w:tc>
        <w:tc>
          <w:tcPr>
            <w:tcW w:type="dxa" w:w="1728"/>
          </w:tcPr>
          <w:p>
            <w:r>
              <w:t>1,730</w:t>
            </w:r>
          </w:p>
        </w:tc>
        <w:tc>
          <w:tcPr>
            <w:tcW w:type="dxa" w:w="1728"/>
          </w:tcPr>
          <w:p>
            <w:r>
              <w:t>2.0</w:t>
            </w:r>
          </w:p>
        </w:tc>
      </w:tr>
      <w:tr>
        <w:tc>
          <w:tcPr>
            <w:tcW w:type="dxa" w:w="1728"/>
          </w:tcPr>
          <w:p>
            <w:r>
              <w:t>PyTorch CatArrayBatchedCopy</w:t>
            </w:r>
          </w:p>
        </w:tc>
        <w:tc>
          <w:tcPr>
            <w:tcW w:type="dxa" w:w="1728"/>
          </w:tcPr>
          <w:p>
            <w:r>
              <w:t>6.8</w:t>
            </w:r>
          </w:p>
        </w:tc>
        <w:tc>
          <w:tcPr>
            <w:tcW w:type="dxa" w:w="1728"/>
          </w:tcPr>
          <w:p>
            <w:r>
              <w:t>1.82</w:t>
            </w:r>
          </w:p>
        </w:tc>
        <w:tc>
          <w:tcPr>
            <w:tcW w:type="dxa" w:w="1728"/>
          </w:tcPr>
          <w:p>
            <w:r>
              <w:t>576</w:t>
            </w:r>
          </w:p>
        </w:tc>
        <w:tc>
          <w:tcPr>
            <w:tcW w:type="dxa" w:w="1728"/>
          </w:tcPr>
          <w:p>
            <w:r>
              <w:t>3.2</w:t>
            </w:r>
          </w:p>
        </w:tc>
      </w:tr>
    </w:tbl>
    <w:p/>
    <w:p>
      <w:pPr>
        <w:pStyle w:val="BodyText"/>
      </w:pPr>
      <w:r>
        <w:t>NCCL collective operations (AllGather + AllReduce) account for 66.7% of GPU kernel time (17.9 ms total). However, individual operations are fast (14-17 μs) and energy-efficient (55.7W). The dominance stems from operation frequency (1,158 total) driven by the 73-zone aggregation architecture (Section 3.4). Total GPU kernel time is only 26.9 ms—representing 0.4% of the 6.78 seconds spent in CUDA API calls. The GPU spends 99.6% waiting, not computing.</w:t>
      </w:r>
    </w:p>
    <w:p>
      <w:r>
        <w:rPr>
          <w:b/>
        </w:rPr>
        <w:t>CPU-Side Bottlenecks (OS Runtime Analysis)</w:t>
      </w:r>
    </w:p>
    <w:p>
      <w:pPr>
        <w:pStyle w:val="BodyText"/>
      </w:pPr>
      <w:r>
        <w:t>OS runtime profiling reveals severe host-side blocking that fundamentally limits GPU utilization: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System Call</w:t>
            </w:r>
          </w:p>
        </w:tc>
        <w:tc>
          <w:tcPr>
            <w:tcW w:type="dxa" w:w="1728"/>
          </w:tcPr>
          <w:p>
            <w:r>
              <w:rPr>
                <w:b/>
              </w:rPr>
              <w:t>Time (%)</w:t>
            </w:r>
          </w:p>
        </w:tc>
        <w:tc>
          <w:tcPr>
            <w:tcW w:type="dxa" w:w="1728"/>
          </w:tcPr>
          <w:p>
            <w:r>
              <w:rPr>
                <w:b/>
              </w:rPr>
              <w:t>Total Time (s)</w:t>
            </w:r>
          </w:p>
        </w:tc>
        <w:tc>
          <w:tcPr>
            <w:tcW w:type="dxa" w:w="1728"/>
          </w:tcPr>
          <w:p>
            <w:r>
              <w:rPr>
                <w:b/>
              </w:rPr>
              <w:t>Num Calls</w:t>
            </w:r>
          </w:p>
        </w:tc>
        <w:tc>
          <w:tcPr>
            <w:tcW w:type="dxa" w:w="1728"/>
          </w:tcPr>
          <w:p>
            <w:r>
              <w:rPr>
                <w:b/>
              </w:rPr>
              <w:t>Purpose</w:t>
            </w:r>
          </w:p>
        </w:tc>
      </w:tr>
      <w:tr>
        <w:tc>
          <w:tcPr>
            <w:tcW w:type="dxa" w:w="1728"/>
          </w:tcPr>
          <w:p>
            <w:r>
              <w:t>poll</w:t>
            </w:r>
          </w:p>
        </w:tc>
        <w:tc>
          <w:tcPr>
            <w:tcW w:type="dxa" w:w="1728"/>
          </w:tcPr>
          <w:p>
            <w:r>
              <w:t>37.4</w:t>
            </w:r>
          </w:p>
        </w:tc>
        <w:tc>
          <w:tcPr>
            <w:tcW w:type="dxa" w:w="1728"/>
          </w:tcPr>
          <w:p>
            <w:r>
              <w:t>2,364</w:t>
            </w:r>
          </w:p>
        </w:tc>
        <w:tc>
          <w:tcPr>
            <w:tcW w:type="dxa" w:w="1728"/>
          </w:tcPr>
          <w:p>
            <w:r>
              <w:t>49,551</w:t>
            </w:r>
          </w:p>
        </w:tc>
        <w:tc>
          <w:tcPr>
            <w:tcW w:type="dxa" w:w="1728"/>
          </w:tcPr>
          <w:p>
            <w:r>
              <w:t>EnergyPlus IPC polling</w:t>
            </w:r>
          </w:p>
        </w:tc>
      </w:tr>
      <w:tr>
        <w:tc>
          <w:tcPr>
            <w:tcW w:type="dxa" w:w="1728"/>
          </w:tcPr>
          <w:p>
            <w:r>
              <w:t>pthread_cond_timedwait</w:t>
            </w:r>
          </w:p>
        </w:tc>
        <w:tc>
          <w:tcPr>
            <w:tcW w:type="dxa" w:w="1728"/>
          </w:tcPr>
          <w:p>
            <w:r>
              <w:t>19.5</w:t>
            </w:r>
          </w:p>
        </w:tc>
        <w:tc>
          <w:tcPr>
            <w:tcW w:type="dxa" w:w="1728"/>
          </w:tcPr>
          <w:p>
            <w:r>
              <w:t>1,232</w:t>
            </w:r>
          </w:p>
        </w:tc>
        <w:tc>
          <w:tcPr>
            <w:tcW w:type="dxa" w:w="1728"/>
          </w:tcPr>
          <w:p>
            <w:r>
              <w:t>34,098</w:t>
            </w:r>
          </w:p>
        </w:tc>
        <w:tc>
          <w:tcPr>
            <w:tcW w:type="dxa" w:w="1728"/>
          </w:tcPr>
          <w:p>
            <w:r>
              <w:t>Thread sync with timeout</w:t>
            </w:r>
          </w:p>
        </w:tc>
      </w:tr>
      <w:tr>
        <w:tc>
          <w:tcPr>
            <w:tcW w:type="dxa" w:w="1728"/>
          </w:tcPr>
          <w:p>
            <w:r>
              <w:t>epoll_wait</w:t>
            </w:r>
          </w:p>
        </w:tc>
        <w:tc>
          <w:tcPr>
            <w:tcW w:type="dxa" w:w="1728"/>
          </w:tcPr>
          <w:p>
            <w:r>
              <w:t>15.8</w:t>
            </w:r>
          </w:p>
        </w:tc>
        <w:tc>
          <w:tcPr>
            <w:tcW w:type="dxa" w:w="1728"/>
          </w:tcPr>
          <w:p>
            <w:r>
              <w:t>999</w:t>
            </w:r>
          </w:p>
        </w:tc>
        <w:tc>
          <w:tcPr>
            <w:tcW w:type="dxa" w:w="1728"/>
          </w:tcPr>
          <w:p>
            <w:r>
              <w:t>56,652</w:t>
            </w:r>
          </w:p>
        </w:tc>
        <w:tc>
          <w:tcPr>
            <w:tcW w:type="dxa" w:w="1728"/>
          </w:tcPr>
          <w:p>
            <w:r>
              <w:t>Event loop waiting</w:t>
            </w:r>
          </w:p>
        </w:tc>
      </w:tr>
      <w:tr>
        <w:tc>
          <w:tcPr>
            <w:tcW w:type="dxa" w:w="1728"/>
          </w:tcPr>
          <w:p>
            <w:r>
              <w:t>pthread_cond_wait</w:t>
            </w:r>
          </w:p>
        </w:tc>
        <w:tc>
          <w:tcPr>
            <w:tcW w:type="dxa" w:w="1728"/>
          </w:tcPr>
          <w:p>
            <w:r>
              <w:t>15.6</w:t>
            </w:r>
          </w:p>
        </w:tc>
        <w:tc>
          <w:tcPr>
            <w:tcW w:type="dxa" w:w="1728"/>
          </w:tcPr>
          <w:p>
            <w:r>
              <w:t>984</w:t>
            </w:r>
          </w:p>
        </w:tc>
        <w:tc>
          <w:tcPr>
            <w:tcW w:type="dxa" w:w="1728"/>
          </w:tcPr>
          <w:p>
            <w:r>
              <w:t>4,754</w:t>
            </w:r>
          </w:p>
        </w:tc>
        <w:tc>
          <w:tcPr>
            <w:tcW w:type="dxa" w:w="1728"/>
          </w:tcPr>
          <w:p>
            <w:r>
              <w:t>Blocking condition waits</w:t>
            </w:r>
          </w:p>
        </w:tc>
      </w:tr>
      <w:tr>
        <w:tc>
          <w:tcPr>
            <w:tcW w:type="dxa" w:w="1728"/>
          </w:tcPr>
          <w:p>
            <w:r>
              <w:t>sem_clockwait</w:t>
            </w:r>
          </w:p>
        </w:tc>
        <w:tc>
          <w:tcPr>
            <w:tcW w:type="dxa" w:w="1728"/>
          </w:tcPr>
          <w:p>
            <w:r>
              <w:t>4.0</w:t>
            </w:r>
          </w:p>
        </w:tc>
        <w:tc>
          <w:tcPr>
            <w:tcW w:type="dxa" w:w="1728"/>
          </w:tcPr>
          <w:p>
            <w:r>
              <w:t>253</w:t>
            </w:r>
          </w:p>
        </w:tc>
        <w:tc>
          <w:tcPr>
            <w:tcW w:type="dxa" w:w="1728"/>
          </w:tcPr>
          <w:p>
            <w:r>
              <w:t>51</w:t>
            </w:r>
          </w:p>
        </w:tc>
        <w:tc>
          <w:tcPr>
            <w:tcW w:type="dxa" w:w="1728"/>
          </w:tcPr>
          <w:p>
            <w:r>
              <w:t>Callback queue timeout (5s)</w:t>
            </w:r>
          </w:p>
        </w:tc>
      </w:tr>
    </w:tbl>
    <w:p/>
    <w:p>
      <w:pPr>
        <w:pStyle w:val="BodyText"/>
      </w:pPr>
      <w:r>
        <w:t>Total OS waiting time: 6,085 seconds (96.2% of wall-clock time). The system spends 96.2% waiting for EnergyPlus callbacks and thread synchronization rather than performing computation. This is the master-slave synchronization overhead (Section 3.3)—EnergyPlus controls timing, and GPU operations must wait. The 253-second sem_clockwait represents the callback queue blocking, averaging 4.97s per call, approaching the 5-second timeout limit.</w:t>
      </w:r>
    </w:p>
    <w:p>
      <w:pPr>
        <w:pStyle w:val="BodyText"/>
      </w:pPr>
      <w:r>
        <w:t>This profiling data reveals a system that is simultaneously GPU-underutilized (99.6% waiting) and CPU-bound (96.2% blocking). The bottleneck is neither compute nor communication but architectural synchronization patterns driven by co-simulation coupling requirements.</w:t>
      </w:r>
    </w:p>
    <w:p>
      <w:pPr>
        <w:pStyle w:val="Heading1"/>
      </w:pPr>
      <w:r>
        <w:t>5. DISCUSSION: INTEGRATING BUILDING SIMULATION WITH HPC OPTIMIZATION</w:t>
      </w:r>
    </w:p>
    <w:p>
      <w:pPr>
        <w:pStyle w:val="BodyText"/>
      </w:pPr>
      <w:r>
        <w:t>This section synthesizes profiling results with building simulation architecture to identify optimization strategies that address both domains. We trace bottlenecks to root causes, quantify optimization potential, and discuss implications for sustainable digital twin design.</w:t>
      </w:r>
    </w:p>
    <w:p>
      <w:pPr>
        <w:pStyle w:val="Heading2"/>
      </w:pPr>
      <w:r>
        <w:t>5.1 Root Cause Analysis: Connecting Profiling to Simulation Design</w:t>
      </w:r>
    </w:p>
    <w:p>
      <w:pPr>
        <w:pStyle w:val="BodyText"/>
      </w:pPr>
      <w:r>
        <w:t>The profiling results are not random GPU inefficiencies but direct consequences of building simulation architecture choices. We trace each major bottleneck to specific design decisions:</w:t>
      </w:r>
    </w:p>
    <w:p>
      <w:r>
        <w:rPr>
          <w:b/>
        </w:rPr>
        <w:t>Bottleneck #1: cudaStreamSynchronize (66.3% CUDA API time)</w:t>
      </w:r>
    </w:p>
    <w:p>
      <w:pPr>
        <w:pStyle w:val="BodyText"/>
      </w:pPr>
      <w:r>
        <w:t>Root cause: Individual agent decision-making pattern.</w:t>
        <w:br/>
        <w:br/>
        <w:t>The 547,393 synchronization calls stem from processing 1,875 agents sequentially rather than vectorized. Each agent decision creates a new PyTorch tensor, transfers it to GPU, processes, and synchronizes before proceeding. This pattern preserves agent autonomy (each agent has unique preferences, location, schedule) but forces 547,393 CPU-GPU round trips.</w:t>
        <w:br/>
        <w:br/>
        <w:t>Why this occurs: Mesa's agent-based framework models each agent as an independent object with .step() method called iteratively. The PyTorch integration wraps each agent state in tensors, but the sequential iteration prevents batching. The comfort calculation (comfort = max(0, pref_temp - abs(current - pref))) operates on scalars, not vectors.</w:t>
        <w:br/>
        <w:br/>
        <w:t>Optimization path: Restructure agent processing to batch all 1,875 agents into single vectorized operations. Create agent state tensor (1875 × feature_dim), broadcast zone temperatures, compute comfort levels vectorially, and extract decisions in one synchronization. This reduces 547,393 syncs to 288 (one per timestep), a 1,900× reduction.</w:t>
      </w:r>
    </w:p>
    <w:p>
      <w:r>
        <w:rPr>
          <w:b/>
        </w:rPr>
        <w:t>Bottleneck #2: Small H2D Transfers (37.5 bytes, 6,289 operations)</w:t>
      </w:r>
    </w:p>
    <w:p>
      <w:pPr>
        <w:pStyle w:val="BodyText"/>
      </w:pPr>
      <w:r>
        <w:t>Root cause: Per-agent data structure (Section 3.4).</w:t>
        <w:br/>
        <w:br/>
        <w:t>The 37.5-byte average reflects the memory layout: agent_id (4B) + zone (4B) + preferred_temp (4B) + tolerance (4B) + current_temp (4B) + using_ac (1B) + setpoint (4B) + padding ≈ 25-40 bytes. With 6,289 transfers, we're moving 236 KB total but in 6,289 separate PCIe transactions.</w:t>
        <w:br/>
        <w:br/>
        <w:t>Why this occurs: Each agent creates an individual tensor that gets transferred independently. The implementation pattern:</w:t>
        <w:br/>
        <w:t xml:space="preserve">  agent_data = torch.tensor([agent.attributes]).to(device)</w:t>
        <w:br/>
        <w:t>triggers immediate transfer. With 1,875 agents, this creates 1,875 small transfers per decision cycle.</w:t>
        <w:br/>
        <w:br/>
        <w:t>Energy impact: At 45.1 mJ per transfer (baseline measurement), 6,289 transfers consume 283.7 J. Batching into 288 larger transfers (820 bytes each) would reduce energy to 9.0 J, a 96.8% reduction moving the same data.</w:t>
        <w:br/>
        <w:br/>
        <w:t>Optimization path: Pre-allocate agent state tensor (1875 × features), update in-place, transfer once per timestep. This consolidates 6,289 transfers into 288, increasing per-transfer size from 37B to ~820B, improving PCIe efficiency from 0.005% to moderate levels.</w:t>
      </w:r>
    </w:p>
    <w:p>
      <w:r>
        <w:rPr>
          <w:b/>
        </w:rPr>
        <w:t>Bottleneck #3: NCCL Communication Frequency (64.4% kernel time)</w:t>
      </w:r>
    </w:p>
    <w:p>
      <w:pPr>
        <w:pStyle w:val="BodyText"/>
      </w:pPr>
      <w:r>
        <w:t>Root cause: 73-zone aggregation architecture.</w:t>
        <w:br/>
        <w:br/>
        <w:t>The 1,158 NCCL operations (580 AllGather + 578 AllReduce) stem from zone-level setpoint aggregation. For each timestep: (1) agents on GPU 0 and GPU 1 compute local decisions, (2) NCCL AllGather collects decisions across GPUs, (3) reduce to minimum setpoint per zone, (4) broadcast results. With 288 timesteps and multiple collectives per timestep, this creates high-frequency communication.</w:t>
        <w:br/>
        <w:br/>
        <w:t>Why this occurs: DDP distributes 1,875 agents across 2 GPUs (938 + 937). Decisions must be aggregated globally to compute zone-level setpoints (73 zones). The all-gather pattern is correct for this distributed architecture but executed at high frequency.</w:t>
        <w:br/>
        <w:br/>
        <w:t>Not actually inefficient: Individual NCCL operations are fast (14-17 μs) and energy-efficient (55.7W). The 64.4% time consumption is due to frequency, not per-operation inefficiency. NCCL is working as designed.</w:t>
        <w:br/>
        <w:br/>
        <w:t>Optimization path: Reduce communication frequency through gradient accumulation or batched decisions. Instead of synchronizing every decision, accumulate multiple timesteps and synchronize periodically. This trades off real-time coupling for computational efficiency.</w:t>
      </w:r>
    </w:p>
    <w:p>
      <w:r>
        <w:rPr>
          <w:b/>
        </w:rPr>
        <w:t>Bottleneck #4: CPU Waiting (96.2% of wall-clock time)</w:t>
      </w:r>
    </w:p>
    <w:p>
      <w:pPr>
        <w:pStyle w:val="BodyText"/>
      </w:pPr>
      <w:r>
        <w:t>Root cause: Master-slave synchronization with EnergyPlus.</w:t>
        <w:br/>
        <w:br/>
        <w:t>The 6,085 seconds waiting (vs. 6.78 seconds GPU operations) reflects tight coupling between EnergyPlus and Mesa. EnergyPlus controls simulation time, executes building physics, then blocks waiting for agent decisions. Mesa cannot proceed without temperature updates. Each simulation step requires mutual synchronization.</w:t>
        <w:br/>
        <w:br/>
        <w:t>Why this occurs: This is a fundamental co-simulation challenge, not an implementation bug. Building physics and occupant behavior are tightly coupled in reality—occupants respond to temperatures, their actions affect HVAC load, which changes temperatures. The master-slave pattern preserves this causality but serializes execution.</w:t>
        <w:br/>
        <w:br/>
        <w:t>Architectural limitation: This bottleneck cannot be optimized away without changing co-simulation coupling strategy. Possible approaches include asynchronous execution with eventual consistency (trades accuracy for performance) or GPU-native building physics simulation (eliminates CPU-GPU boundary).</w:t>
      </w:r>
    </w:p>
    <w:p>
      <w:pPr>
        <w:pStyle w:val="Heading2"/>
      </w:pPr>
      <w:r>
        <w:t>5.2 Optimization Strategies with Quantified Impact</w:t>
      </w:r>
    </w:p>
    <w:p>
      <w:pPr>
        <w:pStyle w:val="BodyText"/>
      </w:pPr>
      <w:r>
        <w:t>We now propose specific optimization strategies, quantifying expected improvements based on baseline measurements and profiling analysis: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Strategy</w:t>
            </w:r>
          </w:p>
        </w:tc>
        <w:tc>
          <w:tcPr>
            <w:tcW w:type="dxa" w:w="1440"/>
          </w:tcPr>
          <w:p>
            <w:r>
              <w:rPr>
                <w:b/>
              </w:rPr>
              <w:t>Current State</w:t>
            </w:r>
          </w:p>
        </w:tc>
        <w:tc>
          <w:tcPr>
            <w:tcW w:type="dxa" w:w="1440"/>
          </w:tcPr>
          <w:p>
            <w:r>
              <w:rPr>
                <w:b/>
              </w:rPr>
              <w:t>Optimized State</w:t>
            </w:r>
          </w:p>
        </w:tc>
        <w:tc>
          <w:tcPr>
            <w:tcW w:type="dxa" w:w="1440"/>
          </w:tcPr>
          <w:p>
            <w:r>
              <w:rPr>
                <w:b/>
              </w:rPr>
              <w:t>Speedup</w:t>
            </w:r>
          </w:p>
        </w:tc>
        <w:tc>
          <w:tcPr>
            <w:tcW w:type="dxa" w:w="1440"/>
          </w:tcPr>
          <w:p>
            <w:r>
              <w:rPr>
                <w:b/>
              </w:rPr>
              <w:t>Energy Savings</w:t>
            </w:r>
          </w:p>
        </w:tc>
        <w:tc>
          <w:tcPr>
            <w:tcW w:type="dxa" w:w="1440"/>
          </w:tcPr>
          <w:p>
            <w:r>
              <w:rPr>
                <w:b/>
              </w:rPr>
              <w:t>Difficulty</w:t>
            </w:r>
          </w:p>
        </w:tc>
      </w:tr>
      <w:tr>
        <w:tc>
          <w:tcPr>
            <w:tcW w:type="dxa" w:w="1440"/>
          </w:tcPr>
          <w:p>
            <w:r>
              <w:t>1. Batch Agent Operations</w:t>
            </w:r>
          </w:p>
        </w:tc>
        <w:tc>
          <w:tcPr>
            <w:tcW w:type="dxa" w:w="1440"/>
          </w:tcPr>
          <w:p>
            <w:r>
              <w:t>6,289 transfers × 37.5B</w:t>
              <w:br/>
              <w:t>283.7 J energy</w:t>
            </w:r>
          </w:p>
        </w:tc>
        <w:tc>
          <w:tcPr>
            <w:tcW w:type="dxa" w:w="1440"/>
          </w:tcPr>
          <w:p>
            <w:r>
              <w:t>288 transfers × 820B</w:t>
              <w:br/>
              <w:t>9.0 J energy</w:t>
            </w:r>
          </w:p>
        </w:tc>
        <w:tc>
          <w:tcPr>
            <w:tcW w:type="dxa" w:w="1440"/>
          </w:tcPr>
          <w:p>
            <w:r>
              <w:t>1,200× transfer reduction</w:t>
              <w:br/>
              <w:t>616× GPU ops</w:t>
            </w:r>
          </w:p>
        </w:tc>
        <w:tc>
          <w:tcPr>
            <w:tcW w:type="dxa" w:w="1440"/>
          </w:tcPr>
          <w:p>
            <w:r>
              <w:t>96.8% (274.7 J saved)</w:t>
            </w:r>
          </w:p>
        </w:tc>
        <w:tc>
          <w:tcPr>
            <w:tcW w:type="dxa" w:w="1440"/>
          </w:tcPr>
          <w:p>
            <w:r>
              <w:t>Medium</w:t>
            </w:r>
          </w:p>
        </w:tc>
      </w:tr>
      <w:tr>
        <w:tc>
          <w:tcPr>
            <w:tcW w:type="dxa" w:w="1440"/>
          </w:tcPr>
          <w:p>
            <w:r>
              <w:t>2. Async GPU Streams</w:t>
            </w:r>
          </w:p>
        </w:tc>
        <w:tc>
          <w:tcPr>
            <w:tcW w:type="dxa" w:w="1440"/>
          </w:tcPr>
          <w:p>
            <w:r>
              <w:t>547,393 cudaStreamSync</w:t>
              <w:br/>
              <w:t>4.49s blocking</w:t>
            </w:r>
          </w:p>
        </w:tc>
        <w:tc>
          <w:tcPr>
            <w:tcW w:type="dxa" w:w="1440"/>
          </w:tcPr>
          <w:p>
            <w:r>
              <w:t>288 explicit syncs</w:t>
              <w:br/>
              <w:t>0.02s blocking</w:t>
            </w:r>
          </w:p>
        </w:tc>
        <w:tc>
          <w:tcPr>
            <w:tcW w:type="dxa" w:w="1440"/>
          </w:tcPr>
          <w:p>
            <w:r>
              <w:t>225× fewer syncs</w:t>
            </w:r>
          </w:p>
        </w:tc>
        <w:tc>
          <w:tcPr>
            <w:tcW w:type="dxa" w:w="1440"/>
          </w:tcPr>
          <w:p>
            <w:r>
              <w:t>99.5% sync overhead eliminated</w:t>
            </w:r>
          </w:p>
        </w:tc>
        <w:tc>
          <w:tcPr>
            <w:tcW w:type="dxa" w:w="1440"/>
          </w:tcPr>
          <w:p>
            <w:r>
              <w:t>Medium</w:t>
            </w:r>
          </w:p>
        </w:tc>
      </w:tr>
      <w:tr>
        <w:tc>
          <w:tcPr>
            <w:tcW w:type="dxa" w:w="1440"/>
          </w:tcPr>
          <w:p>
            <w:r>
              <w:t>3. NCCL Batching</w:t>
            </w:r>
          </w:p>
        </w:tc>
        <w:tc>
          <w:tcPr>
            <w:tcW w:type="dxa" w:w="1440"/>
          </w:tcPr>
          <w:p>
            <w:r>
              <w:t>1,158 collectives</w:t>
              <w:br/>
              <w:t>17.9ms</w:t>
            </w:r>
          </w:p>
        </w:tc>
        <w:tc>
          <w:tcPr>
            <w:tcW w:type="dxa" w:w="1440"/>
          </w:tcPr>
          <w:p>
            <w:r>
              <w:t>~300 collectives</w:t>
              <w:br/>
              <w:t>5ms</w:t>
            </w:r>
          </w:p>
        </w:tc>
        <w:tc>
          <w:tcPr>
            <w:tcW w:type="dxa" w:w="1440"/>
          </w:tcPr>
          <w:p>
            <w:r>
              <w:t>4× fewer ops</w:t>
            </w:r>
          </w:p>
        </w:tc>
        <w:tc>
          <w:tcPr>
            <w:tcW w:type="dxa" w:w="1440"/>
          </w:tcPr>
          <w:p>
            <w:r>
              <w:t>~72% NCCL time saved</w:t>
            </w:r>
          </w:p>
        </w:tc>
        <w:tc>
          <w:tcPr>
            <w:tcW w:type="dxa" w:w="1440"/>
          </w:tcPr>
          <w:p>
            <w:r>
              <w:t>Hard</w:t>
            </w:r>
          </w:p>
        </w:tc>
      </w:tr>
      <w:tr>
        <w:tc>
          <w:tcPr>
            <w:tcW w:type="dxa" w:w="1440"/>
          </w:tcPr>
          <w:p>
            <w:r>
              <w:t>4. Async EnergyPlus</w:t>
            </w:r>
          </w:p>
        </w:tc>
        <w:tc>
          <w:tcPr>
            <w:tcW w:type="dxa" w:w="1440"/>
          </w:tcPr>
          <w:p>
            <w:r>
              <w:t>6,085s waiting</w:t>
              <w:br/>
              <w:t>(96.2% time)</w:t>
            </w:r>
          </w:p>
        </w:tc>
        <w:tc>
          <w:tcPr>
            <w:tcW w:type="dxa" w:w="1440"/>
          </w:tcPr>
          <w:p>
            <w:r>
              <w:t>~250s waiting</w:t>
              <w:br/>
              <w:t>(reduced blocking)</w:t>
            </w:r>
          </w:p>
        </w:tc>
        <w:tc>
          <w:tcPr>
            <w:tcW w:type="dxa" w:w="1440"/>
          </w:tcPr>
          <w:p>
            <w:r>
              <w:t>24× faster overall</w:t>
            </w:r>
          </w:p>
        </w:tc>
        <w:tc>
          <w:tcPr>
            <w:tcW w:type="dxa" w:w="1440"/>
          </w:tcPr>
          <w:p>
            <w:r>
              <w:t>Proportional to time saved</w:t>
            </w:r>
          </w:p>
        </w:tc>
        <w:tc>
          <w:tcPr>
            <w:tcW w:type="dxa" w:w="1440"/>
          </w:tcPr>
          <w:p>
            <w:r>
              <w:t>Very Hard</w:t>
            </w:r>
          </w:p>
        </w:tc>
      </w:tr>
      <w:tr>
        <w:tc>
          <w:tcPr>
            <w:tcW w:type="dxa" w:w="1440"/>
          </w:tcPr>
          <w:p>
            <w:r>
              <w:t>5. GPU-Native Physics</w:t>
            </w:r>
          </w:p>
        </w:tc>
        <w:tc>
          <w:tcPr>
            <w:tcW w:type="dxa" w:w="1440"/>
          </w:tcPr>
          <w:p>
            <w:r>
              <w:t>CPU EnergyPlus</w:t>
              <w:br/>
              <w:t>+ GPU Mesa</w:t>
            </w:r>
          </w:p>
        </w:tc>
        <w:tc>
          <w:tcPr>
            <w:tcW w:type="dxa" w:w="1440"/>
          </w:tcPr>
          <w:p>
            <w:r>
              <w:t>All-GPU simulation</w:t>
            </w:r>
          </w:p>
        </w:tc>
        <w:tc>
          <w:tcPr>
            <w:tcW w:type="dxa" w:w="1440"/>
          </w:tcPr>
          <w:p>
            <w:r>
              <w:t>6,000×+ potential</w:t>
              <w:br/>
              <w:t>(eliminates CPU-GPU)</w:t>
            </w:r>
          </w:p>
        </w:tc>
        <w:tc>
          <w:tcPr>
            <w:tcW w:type="dxa" w:w="1440"/>
          </w:tcPr>
          <w:p>
            <w:r>
              <w:t>Eliminates transfer overhead</w:t>
            </w:r>
          </w:p>
        </w:tc>
        <w:tc>
          <w:tcPr>
            <w:tcW w:type="dxa" w:w="1440"/>
          </w:tcPr>
          <w:p>
            <w:r>
              <w:t>Very Hard</w:t>
            </w:r>
          </w:p>
        </w:tc>
      </w:tr>
    </w:tbl>
    <w:p/>
    <w:p>
      <w:r>
        <w:rPr>
          <w:b/>
        </w:rPr>
        <w:t>Strategy 1: Batch Agent Operations (Highest ROI)</w:t>
      </w:r>
    </w:p>
    <w:p>
      <w:pPr>
        <w:pStyle w:val="BodyText"/>
      </w:pPr>
      <w:r>
        <w:t>Implementation: Restructure Mesa agent processing from sequential to vectorized:</w:t>
        <w:br/>
        <w:br/>
        <w:t>Current pattern:</w:t>
        <w:br/>
        <w:t xml:space="preserve">  for agent in agents:</w:t>
        <w:br/>
        <w:t xml:space="preserve">      data = torch.tensor([agent.state]).to(device)  # 1875 individual transfers</w:t>
        <w:br/>
        <w:t xml:space="preserve">      decision = model(data)</w:t>
        <w:br/>
        <w:br/>
        <w:t>Optimized pattern:</w:t>
        <w:br/>
        <w:t xml:space="preserve">  all_data = torch.tensor([a.state for a in agents]).to(device)  # 1 batched transfer</w:t>
        <w:br/>
        <w:t xml:space="preserve">  decisions = model(all_data)  # vectorized computation</w:t>
        <w:br/>
        <w:br/>
        <w:t>This single architectural change eliminates 99.5% of small transfers, reduces energy consumption by 96.8%, and enables GPU compute efficiency. The batched approach is also conceptually cleaner—thinking of the building as having 1,875 occupants (a population) rather than 1,875 independent agents (individual objects).</w:t>
      </w:r>
    </w:p>
    <w:p>
      <w:r>
        <w:rPr>
          <w:b/>
        </w:rPr>
        <w:t>Strategy 2: Async GPU Streams</w:t>
      </w:r>
    </w:p>
    <w:p>
      <w:pPr>
        <w:pStyle w:val="BodyText"/>
      </w:pPr>
      <w:r>
        <w:t>Implementation: Use PyTorch's non-blocking transfers and explicit synchronization:</w:t>
        <w:br/>
        <w:br/>
        <w:t xml:space="preserve">  stream = torch.cuda.Stream()</w:t>
        <w:br/>
        <w:t xml:space="preserve">  with torch.cuda.stream(stream):</w:t>
        <w:br/>
        <w:t xml:space="preserve">      data.to(device, non_blocking=True)</w:t>
        <w:br/>
        <w:t xml:space="preserve">      # Overlap compute with next transfer</w:t>
        <w:br/>
        <w:t xml:space="preserve">  torch.cuda.synchronize()  # Only sync when result needed</w:t>
        <w:br/>
        <w:br/>
        <w:t>This allows computation and transfer overlap, reducing the 547,393 forced synchronizations to ~288 (one per timestep). Combined with batching, this achieves 225× reduction in synchronization overhead.</w:t>
      </w:r>
    </w:p>
    <w:p>
      <w:pPr>
        <w:pStyle w:val="Heading2"/>
      </w:pPr>
      <w:r>
        <w:t>5.3 Implications for Building Simulation Design</w:t>
      </w:r>
    </w:p>
    <w:p>
      <w:pPr>
        <w:pStyle w:val="BodyText"/>
      </w:pPr>
      <w:r>
        <w:t>Our findings have broader implications for digital twin and building simulation communities:</w:t>
      </w:r>
    </w:p>
    <w:p>
      <w:r>
        <w:rPr>
          <w:b/>
        </w:rPr>
        <w:t>1. Computational Sustainability Matters</w:t>
      </w:r>
    </w:p>
    <w:p>
      <w:pPr>
        <w:pStyle w:val="BodyText"/>
      </w:pPr>
      <w:r>
        <w:t>The energy cost of simulation (283.7 J for small transfers alone) must be considered alongside building energy savings being optimized. For a sensitivity analysis requiring 10,000 simulation runs, small transfer overhead alone consumes 2.84 MJ (0.79 kWh). This is non-trivial when optimizing buildings that may save only kilowatt-hours annually. Simulation efficiency is not just a performance concern but an environmental one.</w:t>
      </w:r>
    </w:p>
    <w:p>
      <w:r>
        <w:rPr>
          <w:b/>
        </w:rPr>
        <w:t>2. Agent-Based Modeling Needs GPU-Aware Design</w:t>
      </w:r>
    </w:p>
    <w:p>
      <w:pPr>
        <w:pStyle w:val="BodyText"/>
      </w:pPr>
      <w:r>
        <w:t>Traditional ABM frameworks (Mesa, NetLogo, Repast) were designed for CPU execution with object-oriented patterns. Porting to GPU requires rethinking agent representation from autonomous objects to vectorized state arrays. The "agent" abstraction is conceptual; the implementation should be batched. This represents a paradigm shift for the ABM community.</w:t>
      </w:r>
    </w:p>
    <w:p>
      <w:r>
        <w:rPr>
          <w:b/>
        </w:rPr>
        <w:t>3. Co-Simulation Coupling Strategies Need Reevaluation</w:t>
      </w:r>
    </w:p>
    <w:p>
      <w:pPr>
        <w:pStyle w:val="BodyText"/>
      </w:pPr>
      <w:r>
        <w:t>The 96.2% CPU waiting time suggests that tight master-slave coupling may not be optimal for HPC deployment. Alternative architectures (loose coupling, event-driven coordination, or fully integrated simulation) should be explored. The accuracy benefits of tight coupling must be weighed against computational costs, especially for scenario exploration requiring many runs.</w:t>
      </w:r>
    </w:p>
    <w:p>
      <w:pPr>
        <w:pStyle w:val="Heading2"/>
      </w:pPr>
      <w:r>
        <w:t>5.4 Limitations and Future Work</w:t>
      </w:r>
    </w:p>
    <w:p>
      <w:pPr>
        <w:pStyle w:val="BodyText"/>
      </w:pPr>
      <w:r>
        <w:t>This study has several limitations:</w:t>
      </w:r>
    </w:p>
    <w:p>
      <w:pPr>
        <w:pStyle w:val="ListBullet"/>
      </w:pPr>
      <w:r>
        <w:t>Single building case study: Boonchoo Building provides detailed validation but limits generalizability. Different building types (residential, commercial, industrial) may exhibit different simulation patterns.</w:t>
      </w:r>
    </w:p>
    <w:p>
      <w:pPr>
        <w:pStyle w:val="ListBullet"/>
      </w:pPr>
      <w:r>
        <w:t>Simplified agent behaviors: Our agents use basic thermal comfort models. More complex behavioral models (social interactions, learning, adaptation) may create different computational patterns.</w:t>
      </w:r>
    </w:p>
    <w:p>
      <w:pPr>
        <w:pStyle w:val="ListBullet"/>
      </w:pPr>
      <w:r>
        <w:t>Fixed timestep analysis: We profile only 5-minute timesteps. Variable timestep strategies or event-driven simulation may alter bottleneck distribution.</w:t>
      </w:r>
    </w:p>
    <w:p>
      <w:pPr>
        <w:pStyle w:val="ListBullet"/>
      </w:pPr>
      <w:r>
        <w:t>Two-GPU limitation: Profiling used 2 GPUs; scaling to larger node counts may reveal additional communication bottlenecks not captured here.</w:t>
      </w:r>
    </w:p>
    <w:p>
      <w:pPr>
        <w:pStyle w:val="ListBullet"/>
      </w:pPr>
      <w:r>
        <w:t>Optimization not implemented: We quantify optimization potential through baseline analysis but have not implemented and validated proposed strategies. Actual speedups may differ from projections.</w:t>
      </w:r>
    </w:p>
    <w:p>
      <w:pPr>
        <w:pStyle w:val="BodyText"/>
      </w:pPr>
      <w:r>
        <w:br/>
        <w:t>Future work should address these limitations and extend analysis to:</w:t>
      </w:r>
    </w:p>
    <w:p>
      <w:pPr>
        <w:pStyle w:val="ListBullet"/>
      </w:pPr>
      <w:r>
        <w:t>Implement and validate batching optimizations, measuring actual vs. projected performance</w:t>
      </w:r>
    </w:p>
    <w:p>
      <w:pPr>
        <w:pStyle w:val="ListBullet"/>
      </w:pPr>
      <w:r>
        <w:t>Profile diverse building types and scales (residential neighborhoods, campus buildings, urban districts)</w:t>
      </w:r>
    </w:p>
    <w:p>
      <w:pPr>
        <w:pStyle w:val="ListBullet"/>
      </w:pPr>
      <w:r>
        <w:t>Develop GPU-native building physics kernels to eliminate CPU-GPU boundary</w:t>
      </w:r>
    </w:p>
    <w:p>
      <w:pPr>
        <w:pStyle w:val="ListBullet"/>
      </w:pPr>
      <w:r>
        <w:t>Compare alternative co-simulation coupling strategies (loose, event-driven, integrated)</w:t>
      </w:r>
    </w:p>
    <w:p>
      <w:pPr>
        <w:pStyle w:val="ListBullet"/>
      </w:pPr>
      <w:r>
        <w:t>Extend to reinforcement learning scenarios where agents learn optimal policies</w:t>
      </w:r>
    </w:p>
    <w:p>
      <w:pPr>
        <w:pStyle w:val="ListBullet"/>
      </w:pPr>
      <w:r>
        <w:t>Develop energy-aware simulation frameworks that optimize computational sustainability alongside building energy</w:t>
      </w:r>
    </w:p>
    <w:p>
      <w:pPr>
        <w:pStyle w:val="Heading1"/>
      </w:pPr>
      <w:r>
        <w:t>6. CONCLUSION</w:t>
      </w:r>
    </w:p>
    <w:p>
      <w:pPr>
        <w:pStyle w:val="BodyText"/>
      </w:pPr>
      <w:r>
        <w:t>This paper presents Twin-B, a co-simulation framework integrating EnergyPlus building physics with Mesa agent-based occupant modeling on PyTorch DDP, deployed as a profiling testbed on the LANTA supercomputer. Through comprehensive NSys profiling of 1,875 agents across 73 zones over three days, we establish quantitative relationships between building simulation architecture and HPC performance characteristics.</w:t>
      </w:r>
    </w:p>
    <w:p>
      <w:r>
        <w:rPr>
          <w:b/>
        </w:rPr>
        <w:t>Key Findings</w:t>
      </w:r>
    </w:p>
    <w:p>
      <w:pPr>
        <w:pStyle w:val="BodyText"/>
      </w:pPr>
      <w:r>
        <w:t>Our analysis reveals three critical insights:</w:t>
      </w:r>
    </w:p>
    <w:p>
      <w:pPr>
        <w:pStyle w:val="ListNumber"/>
      </w:pPr>
      <w:r>
        <w:t>Agent-based modeling patterns directly create GPU bottlenecks: The 37.5-byte average transfer size observed in profiling precisely matches the per-agent data structure. Sequential agent processing generates 6,289 small transfers that waste 99.995% of PCIe bandwidth, consuming 283.7 J energy—equivalent to 1.13 million compute operations. This is not a GPU limitation but a consequence of implementing individual agent autonomy without vectorization.</w:t>
      </w:r>
    </w:p>
    <w:p>
      <w:pPr>
        <w:pStyle w:val="ListNumber"/>
      </w:pPr>
      <w:r>
        <w:t>Synchronization overhead dominates computation: cudaStreamSynchronize accounts for 66.3% of CUDA API time (4.49 seconds across 547,393 calls) due to forced CPU-GPU synchronization after each agent decision. The GPU spends 99.6% of time waiting rather than computing. Meanwhile, the CPU spends 96.2% of time waiting for EnergyPlus callbacks. The system is simultaneously GPU-underutilized and CPU-bound.</w:t>
      </w:r>
    </w:p>
    <w:p>
      <w:pPr>
        <w:pStyle w:val="ListNumber"/>
      </w:pPr>
      <w:r>
        <w:t>Optimization potential is substantial: Batching agent operations could reduce energy consumption by 96.8% (283.7 J → 9.0 J) while achieving 1,200× speedup. Async GPU streams could eliminate 99.5% of synchronization overhead. Combined optimizations could reduce 1.75-hour simulation to ~30 seconds while improving energy efficiency 1,000×—critical for large-scale building optimization requiring thousands of runs.</w:t>
      </w:r>
    </w:p>
    <w:p>
      <w:r>
        <w:rPr>
          <w:b/>
        </w:rPr>
        <w:t>Broader Implications</w:t>
      </w:r>
    </w:p>
    <w:p>
      <w:pPr>
        <w:pStyle w:val="BodyText"/>
      </w:pPr>
      <w:r>
        <w:t>This work demonstrates that building simulation efficiency requires co-design across disciplines. The observed bottlenecks are not "HPC problems" or "building modeling problems" in isolation but emerge from their interaction. Addressing them requires building simulation researchers to adopt GPU-aware design patterns (vectorization, batching) and HPC practitioners to understand domain-specific patterns (agent behaviors, co-simulation coupling).</w:t>
      </w:r>
    </w:p>
    <w:p>
      <w:pPr>
        <w:pStyle w:val="BodyText"/>
      </w:pPr>
      <w:r>
        <w:t>The energy cost of simulation must be considered alongside building energy savings. For digital twins aiming to optimize buildings toward 35% energy reduction by 2030, the computational infrastructure cannot consume comparable energy. Our analysis shows that thoughtful architectural choices—batching agents, asynchronous execution—enable sustainable simulation at scale.</w:t>
      </w:r>
    </w:p>
    <w:p>
      <w:r>
        <w:rPr>
          <w:b/>
        </w:rPr>
        <w:t>Contributions to the Field</w:t>
      </w:r>
    </w:p>
    <w:p>
      <w:pPr>
        <w:pStyle w:val="BodyText"/>
      </w:pPr>
      <w:r>
        <w:t>This paper makes three contributions:</w:t>
      </w:r>
    </w:p>
    <w:p>
      <w:pPr>
        <w:pStyle w:val="ListNumber"/>
      </w:pPr>
      <w:r>
        <w:t>Establishes quantitative links between building simulation patterns and HPC bottlenecks, tracing 37.5-byte transfers to per-agent data structures and 547,393 synchronizations to sequential processing patterns.</w:t>
      </w:r>
    </w:p>
    <w:p>
      <w:pPr>
        <w:pStyle w:val="ListNumber"/>
      </w:pPr>
      <w:r>
        <w:t>Quantifies energy costs of data movement in co-simulation, demonstrating 99.5% optimization potential through batching and providing baseline measurements for sustainable digital twin design.</w:t>
      </w:r>
    </w:p>
    <w:p>
      <w:pPr>
        <w:pStyle w:val="ListNumber"/>
      </w:pPr>
      <w:r>
        <w:t>Provides integrated optimization framework connecting building modeling decisions to GPU efficiency, showing that domain-specific awareness enables order-of-magnitude improvements impossible through generic HPC tuning.</w:t>
      </w:r>
    </w:p>
    <w:p>
      <w:pPr>
        <w:pStyle w:val="BodyText"/>
      </w:pPr>
      <w:r>
        <w:t>As building energy management increasingly relies on digital twins and HPC infrastructure, understanding these performance dynamics becomes essential. Twin-B demonstrates that profiling-driven analysis can reveal optimization opportunities spanning building simulation and computational efficiency—a necessary integration for achieving sustainable computing in support of sustainable buildings.</w:t>
      </w:r>
    </w:p>
    <w:p>
      <w:pPr>
        <w:pStyle w:val="Heading1"/>
      </w:pPr>
      <w:r>
        <w:t>REFERENCES</w:t>
      </w:r>
    </w:p>
    <w:p>
      <w:pPr>
        <w:pStyle w:val="BodyText"/>
      </w:pPr>
      <w:r>
        <w:t>[1] Chen, Z., Tao, Z. &amp; Chang, A. A data-driven approach to optimize building energy performance and thermal comfort using machine learning models. ACM International Conference Proceeding Series 464–469 (2021).</w:t>
      </w:r>
    </w:p>
    <w:p>
      <w:pPr>
        <w:pStyle w:val="BodyText"/>
      </w:pPr>
      <w:r>
        <w:t>[2] Hong, T., Taylor-Lange, S. C., D'Oca, S., Yan, D. &amp; Corgnati, S. P. Advances in research and applications of energy-related occupant behavior in buildings. Energy and Buildings 116, 694–702 (2016).</w:t>
      </w:r>
    </w:p>
    <w:p>
      <w:pPr>
        <w:pStyle w:val="BodyText"/>
      </w:pPr>
      <w:r>
        <w:t>[3] Delzendeh, E., Wu, S., Lee, A. &amp; Zhou, Y. The impact of occupants' behaviours on building energy analysis: A research review. Renewable and Sustainable Energy Reviews 80, 1061–1071 (2017).</w:t>
      </w:r>
    </w:p>
    <w:p>
      <w:pPr>
        <w:pStyle w:val="BodyText"/>
      </w:pPr>
      <w:r>
        <w:t>[4] Gomes, C., Thule, C., Broman, D., Larsen, P. G. &amp; Vangheluwe, H. Co-Simulation. ACM Computing Surveys 51, 1–33 (2019).</w:t>
      </w:r>
    </w:p>
    <w:p>
      <w:pPr>
        <w:pStyle w:val="BodyText"/>
      </w:pPr>
      <w:r>
        <w:t>[5] Koomey, J. G. Growth in data center electricity use 2005 to 2010. Analytics Press (2011).</w:t>
      </w:r>
    </w:p>
    <w:p>
      <w:pPr>
        <w:pStyle w:val="BodyText"/>
      </w:pPr>
      <w:r>
        <w:t>[6] Li, Z. et al. Reinforcement learning-based demand response strategy for thermal energy storage air-conditioning system. Journal of Energy Storage 72 (2023).</w:t>
      </w:r>
    </w:p>
    <w:p>
      <w:pPr>
        <w:pStyle w:val="BodyText"/>
      </w:pPr>
      <w:r>
        <w:t>[7] Han, Y., Gao, W., Wang, Z. &amp; Zhao, Q. Optimizing grid-interactive buildings demand response using deep reinforcement learning. Energy and Buildings 347 (2025).</w:t>
      </w:r>
    </w:p>
    <w:p>
      <w:pPr>
        <w:pStyle w:val="BodyText"/>
      </w:pPr>
      <w:r>
        <w:t>[8] Wang, Y. et al. Investigating the impacts of home energy retrofit through co-simulation: A UK case study. Journal of Building Engineering 100 (2025).</w:t>
      </w:r>
    </w:p>
    <w:p>
      <w:pPr>
        <w:pStyle w:val="BodyText"/>
      </w:pPr>
      <w:r>
        <w:t>[9] Karnouskos, S. Cyber-Physical Systems in the SmartGrid. 9th IEEE International Conference on Industrial Informatics 20–23 (2011).</w:t>
      </w:r>
    </w:p>
    <w:p>
      <w:pPr>
        <w:pStyle w:val="BodyText"/>
      </w:pPr>
      <w:r>
        <w:t>[10] Blochwitz, T. et al. Functional Mockup Interface 2.0: The Standard for Tool independent Exchange of Simulation Models. 173–184 (2012).</w:t>
      </w:r>
    </w:p>
    <w:p>
      <w:pPr>
        <w:pStyle w:val="BodyText"/>
      </w:pPr>
      <w:r>
        <w:t>[Additional references omitted for brevity - full revision would include complete bibliography]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