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11007AFE" w:rsidR="00F21557" w:rsidRDefault="002B687A">
      <w:pPr>
        <w:jc w:val="center"/>
        <w:rPr>
          <w:b/>
          <w:bCs/>
          <w:color w:val="222222"/>
          <w:sz w:val="32"/>
          <w:szCs w:val="32"/>
        </w:rPr>
      </w:pPr>
      <w:r>
        <w:rPr>
          <w:b/>
          <w:bCs/>
          <w:color w:val="222222"/>
          <w:sz w:val="32"/>
          <w:szCs w:val="32"/>
        </w:rPr>
        <w:t>How Cult is Chinese Oracle Bone Inscription</w:t>
      </w:r>
      <w:r w:rsidR="00F21557">
        <w:rPr>
          <w:b/>
          <w:bCs/>
          <w:color w:val="222222"/>
          <w:sz w:val="32"/>
          <w:szCs w:val="32"/>
        </w:rPr>
        <w:t xml:space="preserve">? </w:t>
      </w:r>
    </w:p>
    <w:p w14:paraId="67FE0607" w14:textId="5BA2BEEE" w:rsidR="002B687A" w:rsidRPr="002B687A" w:rsidRDefault="00034774" w:rsidP="002B687A">
      <w:pPr>
        <w:jc w:val="center"/>
        <w:rPr>
          <w:b/>
          <w:bCs/>
          <w:color w:val="222222"/>
          <w:sz w:val="32"/>
          <w:szCs w:val="32"/>
        </w:rPr>
      </w:pPr>
      <w:r>
        <w:rPr>
          <w:b/>
          <w:bCs/>
          <w:color w:val="222222"/>
          <w:sz w:val="32"/>
          <w:szCs w:val="32"/>
        </w:rPr>
        <w:t>A</w:t>
      </w:r>
      <w:r w:rsidR="002B687A" w:rsidRPr="002B687A">
        <w:rPr>
          <w:b/>
          <w:bCs/>
          <w:color w:val="222222"/>
          <w:sz w:val="32"/>
          <w:szCs w:val="32"/>
        </w:rPr>
        <w:t xml:space="preserve"> Contextualization Potential of</w:t>
      </w:r>
      <w:r w:rsidR="002B687A" w:rsidRPr="002B687A">
        <w:rPr>
          <w:b/>
          <w:bCs/>
          <w:color w:val="222222"/>
          <w:sz w:val="32"/>
          <w:szCs w:val="32"/>
        </w:rPr>
        <w:br/>
        <w:t>Son</w:t>
      </w:r>
      <w:r w:rsidR="002B687A">
        <w:rPr>
          <w:b/>
          <w:bCs/>
          <w:color w:val="222222"/>
          <w:sz w:val="32"/>
          <w:szCs w:val="32"/>
        </w:rPr>
        <w:t>ship of Jesus</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20F702E1" w:rsidR="00F21557" w:rsidRDefault="00F21557">
      <w:pPr>
        <w:jc w:val="center"/>
        <w:rPr>
          <w:color w:val="222222"/>
        </w:rPr>
      </w:pPr>
      <w:r>
        <w:rPr>
          <w:color w:val="222222"/>
        </w:rPr>
        <w:t>A M</w:t>
      </w:r>
      <w:r w:rsidR="00034774">
        <w:rPr>
          <w:color w:val="222222"/>
        </w:rPr>
        <w:t>issi</w:t>
      </w:r>
      <w:r>
        <w:rPr>
          <w:color w:val="222222"/>
        </w:rPr>
        <w:t>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40BF1CBB" w:rsidR="00F21557" w:rsidRDefault="00034774">
      <w:pPr>
        <w:jc w:val="center"/>
        <w:rPr>
          <w:color w:val="222222"/>
        </w:rPr>
      </w:pPr>
      <w:r>
        <w:rPr>
          <w:color w:val="222222"/>
        </w:rPr>
        <w:t>William</w:t>
      </w:r>
      <w:r w:rsidR="00F21557">
        <w:rPr>
          <w:color w:val="222222"/>
        </w:rPr>
        <w:t xml:space="preserve"> Wei Ding</w:t>
      </w:r>
    </w:p>
    <w:p w14:paraId="36E816F4" w14:textId="77777777" w:rsidR="00F21557" w:rsidRDefault="00F21557">
      <w:pPr>
        <w:jc w:val="center"/>
        <w:rPr>
          <w:color w:val="222222"/>
        </w:rPr>
      </w:pPr>
    </w:p>
    <w:p w14:paraId="30461F5C" w14:textId="77777777" w:rsidR="00F21557" w:rsidRDefault="00F21557">
      <w:pPr>
        <w:jc w:val="center"/>
        <w:rPr>
          <w:color w:val="222222"/>
        </w:rPr>
      </w:pPr>
    </w:p>
    <w:p w14:paraId="0D2DDCC0" w14:textId="2F8146C8" w:rsidR="00F21557" w:rsidRDefault="00034774">
      <w:pPr>
        <w:jc w:val="center"/>
        <w:rPr>
          <w:color w:val="222222"/>
        </w:rPr>
      </w:pPr>
      <w:r>
        <w:rPr>
          <w:color w:val="222222"/>
        </w:rPr>
        <w:t>Oct</w:t>
      </w:r>
      <w:r w:rsidR="00F21557">
        <w:rPr>
          <w:color w:val="222222"/>
        </w:rPr>
        <w:t xml:space="preserve"> 29, 2021</w:t>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77777777" w:rsidR="00F21557" w:rsidRDefault="00F21557">
      <w:pPr>
        <w:spacing w:line="480" w:lineRule="auto"/>
      </w:pPr>
      <w:r>
        <w:tab/>
        <w:t>This study aims to re-examine if Genesis 2:24 belongs to Adam’s speech from a perspective of etymology and etiology.</w:t>
      </w:r>
    </w:p>
    <w:p w14:paraId="1EA34958" w14:textId="77777777" w:rsidR="00F21557" w:rsidRDefault="00F21557">
      <w:pPr>
        <w:spacing w:line="480" w:lineRule="auto"/>
      </w:pPr>
      <w:r>
        <w:rPr>
          <w:b/>
          <w:bCs/>
        </w:rPr>
        <w:tab/>
      </w:r>
      <w:r>
        <w:t xml:space="preserve">Primarily within the biblical account of Genesis 1-5, the paper explores the familial vocabulary etymology,  the biblical meaning of male and female, the origin of human family, the origin of human speech, the origin of the covenant, and the origin of father and mother. The paper finds that the original meaning of ‘father’ and ‘mother’ is entirely different from the sense in modern culture. They are polyonymous names used to infer to the 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77777777" w:rsidR="00F21557" w:rsidRDefault="00F21557">
      <w:pPr>
        <w:spacing w:line="480" w:lineRule="auto"/>
        <w:rPr>
          <w:rFonts w:eastAsiaTheme="majorEastAsia"/>
          <w:b/>
          <w:bCs/>
          <w:color w:val="000000"/>
          <w:sz w:val="32"/>
          <w:szCs w:val="32"/>
        </w:rPr>
      </w:pPr>
      <w:r>
        <w:tab/>
        <w:t>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6AE2A3EB" w14:textId="14CBD368" w:rsidR="00034774" w:rsidRPr="00034774" w:rsidRDefault="00F21557" w:rsidP="00034774">
      <w:pPr>
        <w:spacing w:line="480" w:lineRule="auto"/>
        <w:rPr>
          <w:b/>
          <w:bCs/>
          <w:u w:val="single"/>
        </w:rPr>
      </w:pPr>
      <w:r>
        <w:rPr>
          <w:b/>
          <w:bCs/>
          <w:u w:val="single"/>
        </w:rPr>
        <w:t xml:space="preserve">1. </w:t>
      </w:r>
      <w:r w:rsidR="00034774" w:rsidRPr="00034774">
        <w:rPr>
          <w:b/>
          <w:bCs/>
          <w:u w:val="single"/>
        </w:rPr>
        <w:t>About Chinese Oracle Bone Inscription</w:t>
      </w:r>
    </w:p>
    <w:p w14:paraId="13B7504E" w14:textId="54B6D392" w:rsidR="00034774" w:rsidRDefault="00034774" w:rsidP="00034774">
      <w:pPr>
        <w:spacing w:line="480" w:lineRule="auto"/>
      </w:pPr>
      <w:r>
        <w:tab/>
      </w:r>
      <w:r>
        <w:t xml:space="preserve">Chinese Oracle Bone Inscription (COBI), also called </w:t>
      </w:r>
      <w:proofErr w:type="spellStart"/>
      <w:r>
        <w:t>JiaGuWen</w:t>
      </w:r>
      <w:proofErr w:type="spellEnd"/>
      <w:r>
        <w:t xml:space="preserve"> (</w:t>
      </w:r>
      <w:proofErr w:type="spellStart"/>
      <w:r>
        <w:t>JGW,</w:t>
      </w:r>
      <w:r>
        <w:rPr>
          <w:rFonts w:ascii="MS Mincho" w:eastAsia="MS Mincho" w:hAnsi="MS Mincho" w:cs="MS Mincho" w:hint="eastAsia"/>
        </w:rPr>
        <w:t>甲骨文</w:t>
      </w:r>
      <w:proofErr w:type="spellEnd"/>
      <w:r>
        <w:t xml:space="preserve">, in Chinese), denotes the ancient Chinese script inscribed on turtle bones (also including some ox and other bones) in </w:t>
      </w:r>
      <w:proofErr w:type="spellStart"/>
      <w:r>
        <w:t>AnYang</w:t>
      </w:r>
      <w:proofErr w:type="spellEnd"/>
      <w:r>
        <w:t xml:space="preserve"> of </w:t>
      </w:r>
      <w:proofErr w:type="spellStart"/>
      <w:r>
        <w:t>HeNan</w:t>
      </w:r>
      <w:proofErr w:type="spellEnd"/>
      <w:r>
        <w:t xml:space="preserve"> province in China during about 1300 to 1000 BC. OBI was first discovered by the Chinese archeologist and royal officer Wang-</w:t>
      </w:r>
      <w:proofErr w:type="spellStart"/>
      <w:r>
        <w:t>YiRong</w:t>
      </w:r>
      <w:proofErr w:type="spellEnd"/>
      <w:r w:rsidR="00377041">
        <w:t xml:space="preserve"> </w:t>
      </w:r>
      <w:r>
        <w:t>(</w:t>
      </w:r>
      <w:r>
        <w:rPr>
          <w:rFonts w:ascii="MS Mincho" w:eastAsia="MS Mincho" w:hAnsi="MS Mincho" w:cs="MS Mincho" w:hint="eastAsia"/>
        </w:rPr>
        <w:t>王懿荣</w:t>
      </w:r>
      <w:r>
        <w:t>,1845-1900) in capital Beijing in 1899 when he accidentally found that some scratches on dragon-bone fragments in his Chinese herbal medicine for his malaria disease1 were similar to Chinese bronze inscriptions. Dragon bone is the Chinese herbal term for turtle shell. Wang soon identified those bones as ancient antiques, then he acquired the origin of their locations and purchased more than one thousand pieces2 through drug dealers.3 After Wang-</w:t>
      </w:r>
      <w:proofErr w:type="spellStart"/>
      <w:r>
        <w:t>YiRong</w:t>
      </w:r>
      <w:proofErr w:type="spellEnd"/>
      <w:r>
        <w:t xml:space="preserve"> suicided in 1900, his collected OBs were transferred to his friend, the philologist Liu-E</w:t>
      </w:r>
      <w:r w:rsidR="00377041">
        <w:t xml:space="preserve"> </w:t>
      </w:r>
      <w:r>
        <w:t>(</w:t>
      </w:r>
      <w:proofErr w:type="spellStart"/>
      <w:r>
        <w:rPr>
          <w:rFonts w:ascii="MS Mincho" w:eastAsia="MS Mincho" w:hAnsi="MS Mincho" w:cs="MS Mincho" w:hint="eastAsia"/>
        </w:rPr>
        <w:t>刘</w:t>
      </w:r>
      <w:r>
        <w:rPr>
          <w:rFonts w:ascii="PingFang TC" w:eastAsia="PingFang TC" w:hAnsi="PingFang TC" w:cs="PingFang TC" w:hint="eastAsia"/>
        </w:rPr>
        <w:t>鹗</w:t>
      </w:r>
      <w:proofErr w:type="spellEnd"/>
      <w:r>
        <w:t>, 1857-1909) who later selected 1058 pieces from his about five thousands of bones and published them in his book Tie-Yun-</w:t>
      </w:r>
      <w:proofErr w:type="spellStart"/>
      <w:r>
        <w:t>Cang</w:t>
      </w:r>
      <w:proofErr w:type="spellEnd"/>
      <w:r>
        <w:t>-</w:t>
      </w:r>
      <w:proofErr w:type="spellStart"/>
      <w:r>
        <w:t>Gui</w:t>
      </w:r>
      <w:proofErr w:type="spellEnd"/>
      <w:r>
        <w:t xml:space="preserve"> (</w:t>
      </w:r>
      <w:proofErr w:type="spellStart"/>
      <w:r>
        <w:rPr>
          <w:rFonts w:ascii="PingFang TC" w:eastAsia="PingFang TC" w:hAnsi="PingFang TC" w:cs="PingFang TC" w:hint="eastAsia"/>
        </w:rPr>
        <w:t>铁</w:t>
      </w:r>
      <w:r>
        <w:rPr>
          <w:rFonts w:ascii="MS Mincho" w:eastAsia="MS Mincho" w:hAnsi="MS Mincho" w:cs="MS Mincho" w:hint="eastAsia"/>
        </w:rPr>
        <w:t>云藏</w:t>
      </w:r>
      <w:r>
        <w:rPr>
          <w:rFonts w:ascii="PingFang TC" w:eastAsia="PingFang TC" w:hAnsi="PingFang TC" w:cs="PingFang TC" w:hint="eastAsia"/>
        </w:rPr>
        <w:t>龟</w:t>
      </w:r>
      <w:proofErr w:type="spellEnd"/>
      <w:r>
        <w:t>)4 in Shanghai in 1903, which was considered as the first academic book of OBI in which about 50 characters were correctly recognized. After Liu-E was exiled and died in Xinjiang in 1909, his collections were transferred partly to his book preface co-writer and scholar Luo-</w:t>
      </w:r>
      <w:proofErr w:type="spellStart"/>
      <w:r>
        <w:t>ZhenYu</w:t>
      </w:r>
      <w:proofErr w:type="spellEnd"/>
      <w:r>
        <w:t>(</w:t>
      </w:r>
      <w:proofErr w:type="spellStart"/>
      <w:r>
        <w:rPr>
          <w:rFonts w:ascii="PingFang TC" w:eastAsia="PingFang TC" w:hAnsi="PingFang TC" w:cs="PingFang TC" w:hint="eastAsia"/>
        </w:rPr>
        <w:t>罗</w:t>
      </w:r>
      <w:r>
        <w:rPr>
          <w:rFonts w:ascii="MS Mincho" w:eastAsia="MS Mincho" w:hAnsi="MS Mincho" w:cs="MS Mincho" w:hint="eastAsia"/>
        </w:rPr>
        <w:t>振玉</w:t>
      </w:r>
      <w:proofErr w:type="spellEnd"/>
      <w:r>
        <w:t>, 1866-1940) and partly to Mrs. Luo-Jialing(</w:t>
      </w:r>
      <w:proofErr w:type="spellStart"/>
      <w:r>
        <w:rPr>
          <w:rFonts w:ascii="PingFang TC" w:eastAsia="PingFang TC" w:hAnsi="PingFang TC" w:cs="PingFang TC" w:hint="eastAsia"/>
        </w:rPr>
        <w:t>罗</w:t>
      </w:r>
      <w:r>
        <w:rPr>
          <w:rFonts w:ascii="MS Mincho" w:eastAsia="MS Mincho" w:hAnsi="MS Mincho" w:cs="MS Mincho" w:hint="eastAsia"/>
        </w:rPr>
        <w:t>迦陵</w:t>
      </w:r>
      <w:proofErr w:type="spellEnd"/>
      <w:r>
        <w:t xml:space="preserve">, 1864-1941), who was the wife of Jewish businessman Silas Aaron </w:t>
      </w:r>
      <w:proofErr w:type="spellStart"/>
      <w:r>
        <w:t>Hardoon</w:t>
      </w:r>
      <w:proofErr w:type="spellEnd"/>
      <w:r>
        <w:t xml:space="preserve"> in Shanghai.5</w:t>
      </w:r>
    </w:p>
    <w:p w14:paraId="7A908365" w14:textId="4E5DEBF3" w:rsidR="00034774" w:rsidRDefault="00034774" w:rsidP="00034774">
      <w:pPr>
        <w:spacing w:line="480" w:lineRule="auto"/>
      </w:pPr>
      <w:r>
        <w:tab/>
      </w:r>
      <w:r>
        <w:t>After Luo-</w:t>
      </w:r>
      <w:proofErr w:type="spellStart"/>
      <w:r>
        <w:t>ZhenYu</w:t>
      </w:r>
      <w:proofErr w:type="spellEnd"/>
      <w:r>
        <w:t xml:space="preserve"> first time published the unearthed location of OBI in 1908, within twenty years, </w:t>
      </w:r>
      <w:proofErr w:type="spellStart"/>
      <w:r>
        <w:t>AnYang</w:t>
      </w:r>
      <w:proofErr w:type="spellEnd"/>
      <w:r>
        <w:t xml:space="preserve"> experienced the large scale of excavations for at least nine times. Between 1928 and 1937, Chinese official Central Research Institute of History and Language excavated </w:t>
      </w:r>
      <w:r>
        <w:lastRenderedPageBreak/>
        <w:t>for 15 times. The thirteenth excavation in June of 1936 was most significant: more than three hundreds whole turtle shell, 17096 pieces of fragments (including many with scripts), and about eight pieces of bones were unearthed at the site H127 pitch.</w:t>
      </w:r>
    </w:p>
    <w:p w14:paraId="150DA956" w14:textId="0431A66B" w:rsidR="00034774" w:rsidRDefault="00034774" w:rsidP="00034774">
      <w:pPr>
        <w:spacing w:line="480" w:lineRule="auto"/>
      </w:pPr>
      <w:r>
        <w:tab/>
      </w:r>
      <w:r>
        <w:t xml:space="preserve">During the same time of period, there were more than one hundred of OBI scholars emerged, including Wang- </w:t>
      </w:r>
      <w:proofErr w:type="spellStart"/>
      <w:r>
        <w:t>GuoWei</w:t>
      </w:r>
      <w:proofErr w:type="spellEnd"/>
      <w:r>
        <w:t>(</w:t>
      </w:r>
      <w:r>
        <w:rPr>
          <w:rFonts w:ascii="MS Mincho" w:eastAsia="MS Mincho" w:hAnsi="MS Mincho" w:cs="MS Mincho" w:hint="eastAsia"/>
        </w:rPr>
        <w:t>王国</w:t>
      </w:r>
      <w:r>
        <w:rPr>
          <w:rFonts w:ascii="PingFang TC" w:eastAsia="PingFang TC" w:hAnsi="PingFang TC" w:cs="PingFang TC" w:hint="eastAsia"/>
        </w:rPr>
        <w:t>维</w:t>
      </w:r>
      <w:r>
        <w:t>,1877-1927), Sun-</w:t>
      </w:r>
      <w:proofErr w:type="spellStart"/>
      <w:r>
        <w:t>YeRang</w:t>
      </w:r>
      <w:proofErr w:type="spellEnd"/>
      <w:r>
        <w:t>(</w:t>
      </w:r>
      <w:r>
        <w:rPr>
          <w:rFonts w:ascii="PingFang TC" w:eastAsia="PingFang TC" w:hAnsi="PingFang TC" w:cs="PingFang TC" w:hint="eastAsia"/>
        </w:rPr>
        <w:t>孙</w:t>
      </w:r>
      <w:r>
        <w:rPr>
          <w:rFonts w:ascii="MS Mincho" w:eastAsia="MS Mincho" w:hAnsi="MS Mincho" w:cs="MS Mincho" w:hint="eastAsia"/>
        </w:rPr>
        <w:t>冶</w:t>
      </w:r>
      <w:r>
        <w:rPr>
          <w:rFonts w:ascii="PingFang TC" w:eastAsia="PingFang TC" w:hAnsi="PingFang TC" w:cs="PingFang TC" w:hint="eastAsia"/>
        </w:rPr>
        <w:t>让</w:t>
      </w:r>
      <w:r>
        <w:t>,1848-1908), Ye-</w:t>
      </w:r>
      <w:proofErr w:type="spellStart"/>
      <w:r>
        <w:t>YuSen</w:t>
      </w:r>
      <w:proofErr w:type="spellEnd"/>
      <w:r>
        <w:t>(</w:t>
      </w:r>
      <w:proofErr w:type="spellStart"/>
      <w:r>
        <w:rPr>
          <w:rFonts w:ascii="MS Mincho" w:eastAsia="MS Mincho" w:hAnsi="MS Mincho" w:cs="MS Mincho" w:hint="eastAsia"/>
        </w:rPr>
        <w:t>叶玉森</w:t>
      </w:r>
      <w:proofErr w:type="spellEnd"/>
      <w:r>
        <w:t xml:space="preserve">, 1880-1933), the first female Chinese archeologist Zen </w:t>
      </w:r>
      <w:proofErr w:type="spellStart"/>
      <w:r>
        <w:t>ShaoYu</w:t>
      </w:r>
      <w:proofErr w:type="spellEnd"/>
      <w:r>
        <w:t>(</w:t>
      </w:r>
      <w:proofErr w:type="spellStart"/>
      <w:r>
        <w:rPr>
          <w:rFonts w:ascii="MS Mincho" w:eastAsia="MS Mincho" w:hAnsi="MS Mincho" w:cs="MS Mincho" w:hint="eastAsia"/>
        </w:rPr>
        <w:t>曾昭</w:t>
      </w:r>
      <w:r>
        <w:rPr>
          <w:rFonts w:ascii="PingFang TC" w:eastAsia="PingFang TC" w:hAnsi="PingFang TC" w:cs="PingFang TC" w:hint="eastAsia"/>
        </w:rPr>
        <w:t>燏</w:t>
      </w:r>
      <w:proofErr w:type="spellEnd"/>
      <w:r>
        <w:t>, 1909-1964), and many others famous scholars. More than three hundreds of research works were published.</w:t>
      </w:r>
    </w:p>
    <w:p w14:paraId="48261498" w14:textId="7FCA01E0" w:rsidR="00034774" w:rsidRDefault="00034774" w:rsidP="00034774">
      <w:pPr>
        <w:spacing w:line="480" w:lineRule="auto"/>
      </w:pPr>
      <w:r>
        <w:tab/>
      </w:r>
      <w:r>
        <w:t>After 1903 when Liu-E first recognized about 50 characters in his book, Frank H. Chalfant (1862-1914) listed 403 deciphered characters with English interpretation in his book Early Chinese Writing published in Pittsburgh in PA in 1906. Luo-</w:t>
      </w:r>
      <w:proofErr w:type="spellStart"/>
      <w:r>
        <w:t>ZhenYu</w:t>
      </w:r>
      <w:proofErr w:type="spellEnd"/>
      <w:r>
        <w:t xml:space="preserve"> first enumerated 485 recognized characters in his book </w:t>
      </w:r>
      <w:proofErr w:type="spellStart"/>
      <w:r>
        <w:t>YinXuShuQieKaoShi</w:t>
      </w:r>
      <w:proofErr w:type="spellEnd"/>
      <w:r>
        <w:t>(</w:t>
      </w:r>
      <w:proofErr w:type="spellStart"/>
      <w:r>
        <w:rPr>
          <w:rFonts w:ascii="MS Mincho" w:eastAsia="MS Mincho" w:hAnsi="MS Mincho" w:cs="MS Mincho" w:hint="eastAsia"/>
        </w:rPr>
        <w:t>殷虚</w:t>
      </w:r>
      <w:r>
        <w:rPr>
          <w:rFonts w:ascii="PingFang TC" w:eastAsia="PingFang TC" w:hAnsi="PingFang TC" w:cs="PingFang TC" w:hint="eastAsia"/>
        </w:rPr>
        <w:t>书</w:t>
      </w:r>
      <w:r>
        <w:rPr>
          <w:rFonts w:ascii="MS Mincho" w:eastAsia="MS Mincho" w:hAnsi="MS Mincho" w:cs="MS Mincho" w:hint="eastAsia"/>
        </w:rPr>
        <w:t>契</w:t>
      </w:r>
      <w:proofErr w:type="spellEnd"/>
      <w:r>
        <w:t xml:space="preserve"> </w:t>
      </w:r>
      <w:proofErr w:type="spellStart"/>
      <w:r>
        <w:rPr>
          <w:rFonts w:ascii="MS Mincho" w:eastAsia="MS Mincho" w:hAnsi="MS Mincho" w:cs="MS Mincho" w:hint="eastAsia"/>
        </w:rPr>
        <w:t>考</w:t>
      </w:r>
      <w:r>
        <w:rPr>
          <w:rFonts w:ascii="PingFang TC" w:eastAsia="PingFang TC" w:hAnsi="PingFang TC" w:cs="PingFang TC" w:hint="eastAsia"/>
        </w:rPr>
        <w:t>释</w:t>
      </w:r>
      <w:proofErr w:type="spellEnd"/>
      <w:r>
        <w:t xml:space="preserve">)6 in 1914. In the first OBI dictionary, </w:t>
      </w:r>
      <w:proofErr w:type="spellStart"/>
      <w:r>
        <w:t>FuShiYinQieLeiZuan</w:t>
      </w:r>
      <w:proofErr w:type="spellEnd"/>
      <w:r>
        <w:t xml:space="preserve"> (</w:t>
      </w:r>
      <w:proofErr w:type="spellStart"/>
      <w:r>
        <w:rPr>
          <w:rFonts w:ascii="MS Mincho" w:eastAsia="MS Mincho" w:hAnsi="MS Mincho" w:cs="MS Mincho" w:hint="eastAsia"/>
        </w:rPr>
        <w:t>簠室殷契類纂</w:t>
      </w:r>
      <w:proofErr w:type="spellEnd"/>
      <w:r>
        <w:t>) by Wang-Xiang(</w:t>
      </w:r>
      <w:proofErr w:type="spellStart"/>
      <w:r>
        <w:rPr>
          <w:rFonts w:ascii="MS Mincho" w:eastAsia="MS Mincho" w:hAnsi="MS Mincho" w:cs="MS Mincho" w:hint="eastAsia"/>
        </w:rPr>
        <w:t>王襄</w:t>
      </w:r>
      <w:proofErr w:type="spellEnd"/>
      <w:r>
        <w:t>, 1876-1965), there were 873 recognized characters in 1921, and 957 characters in 1929.7</w:t>
      </w:r>
    </w:p>
    <w:p w14:paraId="77F0E894" w14:textId="52D63557" w:rsidR="00034774" w:rsidRDefault="00034774" w:rsidP="00034774">
      <w:pPr>
        <w:spacing w:line="480" w:lineRule="auto"/>
      </w:pPr>
      <w:r>
        <w:tab/>
      </w:r>
      <w:r>
        <w:t>Luo-</w:t>
      </w:r>
      <w:proofErr w:type="spellStart"/>
      <w:r>
        <w:t>ZhengYu</w:t>
      </w:r>
      <w:proofErr w:type="spellEnd"/>
      <w:r>
        <w:t xml:space="preserve"> published his photocopy of more than 5400 pieces of OB in his books, which was about one-third of all at his time. He can be considered as the representative of the first generation of scholars who lay down the foundation of OBI study. Dong-</w:t>
      </w:r>
      <w:proofErr w:type="spellStart"/>
      <w:r>
        <w:t>ZuoBing</w:t>
      </w:r>
      <w:proofErr w:type="spellEnd"/>
      <w:r>
        <w:t>(</w:t>
      </w:r>
      <w:r>
        <w:rPr>
          <w:rFonts w:ascii="MS Mincho" w:eastAsia="MS Mincho" w:hAnsi="MS Mincho" w:cs="MS Mincho" w:hint="eastAsia"/>
        </w:rPr>
        <w:t>董作</w:t>
      </w:r>
      <w:r>
        <w:rPr>
          <w:rFonts w:ascii="PingFang TC" w:eastAsia="PingFang TC" w:hAnsi="PingFang TC" w:cs="PingFang TC" w:hint="eastAsia"/>
        </w:rPr>
        <w:t>宾</w:t>
      </w:r>
      <w:r>
        <w:t>,1895-1963), Li-Ji(</w:t>
      </w:r>
      <w:proofErr w:type="spellStart"/>
      <w:r>
        <w:rPr>
          <w:rFonts w:ascii="MS Mincho" w:eastAsia="MS Mincho" w:hAnsi="MS Mincho" w:cs="MS Mincho" w:hint="eastAsia"/>
        </w:rPr>
        <w:t>李</w:t>
      </w:r>
      <w:r>
        <w:rPr>
          <w:rFonts w:ascii="PingFang TC" w:eastAsia="PingFang TC" w:hAnsi="PingFang TC" w:cs="PingFang TC" w:hint="eastAsia"/>
        </w:rPr>
        <w:t>济</w:t>
      </w:r>
      <w:proofErr w:type="spellEnd"/>
      <w:r>
        <w:t>, 1896-1979), Fu-</w:t>
      </w:r>
      <w:proofErr w:type="spellStart"/>
      <w:r>
        <w:t>SiNian</w:t>
      </w:r>
      <w:proofErr w:type="spellEnd"/>
      <w:r>
        <w:t>(</w:t>
      </w:r>
      <w:r>
        <w:rPr>
          <w:rFonts w:ascii="MS Mincho" w:eastAsia="MS Mincho" w:hAnsi="MS Mincho" w:cs="MS Mincho" w:hint="eastAsia"/>
        </w:rPr>
        <w:t>傅斯年</w:t>
      </w:r>
      <w:r>
        <w:t>,1896-1950), etc. can be considered as the second generation. Song-</w:t>
      </w:r>
      <w:proofErr w:type="spellStart"/>
      <w:r>
        <w:t>ZhengHao</w:t>
      </w:r>
      <w:proofErr w:type="spellEnd"/>
      <w:r>
        <w:t>(</w:t>
      </w:r>
      <w:proofErr w:type="spellStart"/>
      <w:r>
        <w:rPr>
          <w:rFonts w:ascii="MS Mincho" w:eastAsia="MS Mincho" w:hAnsi="MS Mincho" w:cs="MS Mincho" w:hint="eastAsia"/>
        </w:rPr>
        <w:t>宋</w:t>
      </w:r>
      <w:r>
        <w:rPr>
          <w:rFonts w:ascii="PingFang TC" w:eastAsia="PingFang TC" w:hAnsi="PingFang TC" w:cs="PingFang TC" w:hint="eastAsia"/>
        </w:rPr>
        <w:t>镇</w:t>
      </w:r>
      <w:r>
        <w:rPr>
          <w:rFonts w:ascii="MS Mincho" w:eastAsia="MS Mincho" w:hAnsi="MS Mincho" w:cs="MS Mincho" w:hint="eastAsia"/>
        </w:rPr>
        <w:t>豪</w:t>
      </w:r>
      <w:proofErr w:type="spellEnd"/>
      <w:r>
        <w:t>, 1949–), Li-</w:t>
      </w:r>
      <w:proofErr w:type="spellStart"/>
      <w:r>
        <w:t>XueQing</w:t>
      </w:r>
      <w:proofErr w:type="spellEnd"/>
      <w:r>
        <w:t xml:space="preserve"> (</w:t>
      </w:r>
      <w:proofErr w:type="spellStart"/>
      <w:r>
        <w:rPr>
          <w:rFonts w:ascii="MS Mincho" w:eastAsia="MS Mincho" w:hAnsi="MS Mincho" w:cs="MS Mincho" w:hint="eastAsia"/>
        </w:rPr>
        <w:t>李学勤</w:t>
      </w:r>
      <w:proofErr w:type="spellEnd"/>
      <w:r>
        <w:t>, 1933–</w:t>
      </w:r>
      <w:r w:rsidR="007651E1">
        <w:t>2019</w:t>
      </w:r>
      <w:r>
        <w:t>), Sarah Allan (1945–) and so on can be considered as today’s third generation.</w:t>
      </w:r>
    </w:p>
    <w:p w14:paraId="70175C0A" w14:textId="1D6CA42F" w:rsidR="00034774" w:rsidRDefault="00034774" w:rsidP="00034774">
      <w:pPr>
        <w:spacing w:line="480" w:lineRule="auto"/>
      </w:pPr>
      <w:r>
        <w:lastRenderedPageBreak/>
        <w:tab/>
      </w:r>
      <w:r>
        <w:t>Today there are more than 130,000 pieces of OBs distributed in various institutes or museums over mainland China(60%), Taiwan(22%), Japan(6%), Canada(5%), Britain(2%), American(1%), etc.8</w:t>
      </w:r>
    </w:p>
    <w:p w14:paraId="4B32E996" w14:textId="77777777" w:rsidR="00034774" w:rsidRDefault="00034774" w:rsidP="00034774">
      <w:pPr>
        <w:spacing w:line="480" w:lineRule="auto"/>
      </w:pPr>
      <w:r>
        <w:t xml:space="preserve">1Ji Li. An Yang. </w:t>
      </w:r>
      <w:proofErr w:type="spellStart"/>
      <w:r>
        <w:t>P.R.China</w:t>
      </w:r>
      <w:proofErr w:type="spellEnd"/>
      <w:r>
        <w:t xml:space="preserve">: Hebei </w:t>
      </w:r>
      <w:proofErr w:type="spellStart"/>
      <w:r>
        <w:t>Jiaoyu</w:t>
      </w:r>
      <w:proofErr w:type="spellEnd"/>
      <w:r>
        <w:t xml:space="preserve"> Publisher, 2000, p.13.</w:t>
      </w:r>
    </w:p>
    <w:p w14:paraId="7B38065E" w14:textId="77777777" w:rsidR="00034774" w:rsidRDefault="00034774" w:rsidP="00034774">
      <w:pPr>
        <w:spacing w:line="480" w:lineRule="auto"/>
      </w:pPr>
      <w:r>
        <w:t>2</w:t>
      </w:r>
      <w:r>
        <w:rPr>
          <w:rFonts w:ascii="MS Mincho" w:eastAsia="MS Mincho" w:hAnsi="MS Mincho" w:cs="MS Mincho" w:hint="eastAsia"/>
        </w:rPr>
        <w:t>王崇</w:t>
      </w:r>
      <w:r>
        <w:t>(</w:t>
      </w:r>
      <w:proofErr w:type="spellStart"/>
      <w:r>
        <w:t>WangChongHuan</w:t>
      </w:r>
      <w:proofErr w:type="spellEnd"/>
      <w:r>
        <w:t xml:space="preserve">). </w:t>
      </w:r>
      <w:proofErr w:type="spellStart"/>
      <w:r>
        <w:rPr>
          <w:rFonts w:ascii="MS Mincho" w:eastAsia="MS Mincho" w:hAnsi="MS Mincho" w:cs="MS Mincho" w:hint="eastAsia"/>
        </w:rPr>
        <w:t>清王文敏公懿年</w:t>
      </w:r>
      <w:proofErr w:type="spellEnd"/>
      <w:r>
        <w:t xml:space="preserve">. </w:t>
      </w:r>
      <w:r>
        <w:rPr>
          <w:rFonts w:ascii="MS Mincho" w:eastAsia="MS Mincho" w:hAnsi="MS Mincho" w:cs="MS Mincho" w:hint="eastAsia"/>
        </w:rPr>
        <w:t>新</w:t>
      </w:r>
      <w:r>
        <w:rPr>
          <w:rFonts w:ascii="PingFang TC" w:eastAsia="PingFang TC" w:hAnsi="PingFang TC" w:cs="PingFang TC" w:hint="eastAsia"/>
        </w:rPr>
        <w:t>编</w:t>
      </w:r>
      <w:r>
        <w:rPr>
          <w:rFonts w:ascii="MS Mincho" w:eastAsia="MS Mincho" w:hAnsi="MS Mincho" w:cs="MS Mincho" w:hint="eastAsia"/>
        </w:rPr>
        <w:t>中国名人年</w:t>
      </w:r>
      <w:r>
        <w:rPr>
          <w:rFonts w:ascii="PingFang TC" w:eastAsia="PingFang TC" w:hAnsi="PingFang TC" w:cs="PingFang TC" w:hint="eastAsia"/>
        </w:rPr>
        <w:t>谱</w:t>
      </w:r>
      <w:r>
        <w:rPr>
          <w:rFonts w:ascii="MS Mincho" w:eastAsia="MS Mincho" w:hAnsi="MS Mincho" w:cs="MS Mincho" w:hint="eastAsia"/>
        </w:rPr>
        <w:t>集成第</w:t>
      </w:r>
      <w:r>
        <w:t>19</w:t>
      </w:r>
      <w:r>
        <w:rPr>
          <w:rFonts w:ascii="PingFang TC" w:eastAsia="PingFang TC" w:hAnsi="PingFang TC" w:cs="PingFang TC" w:hint="eastAsia"/>
        </w:rPr>
        <w:t>辑</w:t>
      </w:r>
      <w:r>
        <w:t xml:space="preserve">. Taiwan: </w:t>
      </w:r>
      <w:proofErr w:type="spellStart"/>
      <w:r>
        <w:rPr>
          <w:rFonts w:ascii="MS Mincho" w:eastAsia="MS Mincho" w:hAnsi="MS Mincho" w:cs="MS Mincho" w:hint="eastAsia"/>
        </w:rPr>
        <w:t>商印</w:t>
      </w:r>
      <w:proofErr w:type="spellEnd"/>
      <w:r>
        <w:t>, 1986, p.46.</w:t>
      </w:r>
    </w:p>
    <w:p w14:paraId="2F592D0D" w14:textId="77777777" w:rsidR="00034774" w:rsidRDefault="00034774" w:rsidP="00034774">
      <w:pPr>
        <w:spacing w:line="480" w:lineRule="auto"/>
      </w:pPr>
      <w:r>
        <w:t xml:space="preserve">3James Mellon Menzies. Oracle Records </w:t>
      </w:r>
      <w:proofErr w:type="gramStart"/>
      <w:r>
        <w:t>From</w:t>
      </w:r>
      <w:proofErr w:type="gramEnd"/>
      <w:r>
        <w:t xml:space="preserve"> the Waste of Yin (</w:t>
      </w:r>
      <w:proofErr w:type="spellStart"/>
      <w:r>
        <w:rPr>
          <w:rFonts w:ascii="MS Mincho" w:eastAsia="MS Mincho" w:hAnsi="MS Mincho" w:cs="MS Mincho" w:hint="eastAsia"/>
        </w:rPr>
        <w:t>殷虚卜辞</w:t>
      </w:r>
      <w:proofErr w:type="spellEnd"/>
      <w:r>
        <w:t>). Shanghai: Shanghai : Kelly and Walsh, 1917, p. 2. 4</w:t>
      </w:r>
      <w:r>
        <w:rPr>
          <w:rFonts w:ascii="MS Mincho" w:eastAsia="MS Mincho" w:hAnsi="MS Mincho" w:cs="MS Mincho" w:hint="eastAsia"/>
        </w:rPr>
        <w:t>刘</w:t>
      </w:r>
      <w:r>
        <w:rPr>
          <w:rFonts w:ascii="PingFang TC" w:eastAsia="PingFang TC" w:hAnsi="PingFang TC" w:cs="PingFang TC" w:hint="eastAsia"/>
        </w:rPr>
        <w:t>鹗</w:t>
      </w:r>
      <w:r>
        <w:t xml:space="preserve">. </w:t>
      </w:r>
      <w:proofErr w:type="spellStart"/>
      <w:r>
        <w:rPr>
          <w:rFonts w:ascii="PingFang TC" w:eastAsia="PingFang TC" w:hAnsi="PingFang TC" w:cs="PingFang TC" w:hint="eastAsia"/>
        </w:rPr>
        <w:t>铁</w:t>
      </w:r>
      <w:r>
        <w:rPr>
          <w:rFonts w:ascii="MS Mincho" w:eastAsia="MS Mincho" w:hAnsi="MS Mincho" w:cs="MS Mincho" w:hint="eastAsia"/>
        </w:rPr>
        <w:t>云藏</w:t>
      </w:r>
      <w:r>
        <w:rPr>
          <w:rFonts w:ascii="PingFang TC" w:eastAsia="PingFang TC" w:hAnsi="PingFang TC" w:cs="PingFang TC" w:hint="eastAsia"/>
        </w:rPr>
        <w:t>龟</w:t>
      </w:r>
      <w:proofErr w:type="spellEnd"/>
      <w:r>
        <w:t xml:space="preserve">. </w:t>
      </w:r>
      <w:proofErr w:type="spellStart"/>
      <w:r>
        <w:rPr>
          <w:rFonts w:ascii="MS Mincho" w:eastAsia="MS Mincho" w:hAnsi="MS Mincho" w:cs="MS Mincho" w:hint="eastAsia"/>
        </w:rPr>
        <w:t>国立中央研究院</w:t>
      </w:r>
      <w:r>
        <w:rPr>
          <w:rFonts w:ascii="PingFang TC" w:eastAsia="PingFang TC" w:hAnsi="PingFang TC" w:cs="PingFang TC" w:hint="eastAsia"/>
        </w:rPr>
        <w:t>历</w:t>
      </w:r>
      <w:r>
        <w:rPr>
          <w:rFonts w:ascii="MS Mincho" w:eastAsia="MS Mincho" w:hAnsi="MS Mincho" w:cs="MS Mincho" w:hint="eastAsia"/>
        </w:rPr>
        <w:t>史</w:t>
      </w:r>
      <w:r>
        <w:rPr>
          <w:rFonts w:ascii="PingFang TC" w:eastAsia="PingFang TC" w:hAnsi="PingFang TC" w:cs="PingFang TC" w:hint="eastAsia"/>
        </w:rPr>
        <w:t>语</w:t>
      </w:r>
      <w:r>
        <w:rPr>
          <w:rFonts w:ascii="MS Mincho" w:eastAsia="MS Mincho" w:hAnsi="MS Mincho" w:cs="MS Mincho" w:hint="eastAsia"/>
        </w:rPr>
        <w:t>言研究所</w:t>
      </w:r>
      <w:r>
        <w:rPr>
          <w:rFonts w:ascii="PingFang TC" w:eastAsia="PingFang TC" w:hAnsi="PingFang TC" w:cs="PingFang TC" w:hint="eastAsia"/>
        </w:rPr>
        <w:t>单</w:t>
      </w:r>
      <w:r>
        <w:rPr>
          <w:rFonts w:ascii="MS Mincho" w:eastAsia="MS Mincho" w:hAnsi="MS Mincho" w:cs="MS Mincho" w:hint="eastAsia"/>
        </w:rPr>
        <w:t>刊</w:t>
      </w:r>
      <w:r>
        <w:t>:</w:t>
      </w:r>
      <w:r>
        <w:rPr>
          <w:rFonts w:ascii="MS Mincho" w:eastAsia="MS Mincho" w:hAnsi="MS Mincho" w:cs="MS Mincho" w:hint="eastAsia"/>
        </w:rPr>
        <w:t>乙</w:t>
      </w:r>
      <w:proofErr w:type="spellEnd"/>
      <w:r>
        <w:rPr>
          <w:rFonts w:ascii="MS Mincho" w:eastAsia="MS Mincho" w:hAnsi="MS Mincho" w:cs="MS Mincho" w:hint="eastAsia"/>
        </w:rPr>
        <w:t>种</w:t>
      </w:r>
      <w:r>
        <w:t xml:space="preserve">. </w:t>
      </w:r>
      <w:proofErr w:type="spellStart"/>
      <w:r>
        <w:rPr>
          <w:rFonts w:ascii="MS Mincho" w:eastAsia="MS Mincho" w:hAnsi="MS Mincho" w:cs="MS Mincho" w:hint="eastAsia"/>
        </w:rPr>
        <w:t>抱残守缺</w:t>
      </w:r>
      <w:r>
        <w:rPr>
          <w:rFonts w:ascii="PingFang TC" w:eastAsia="PingFang TC" w:hAnsi="PingFang TC" w:cs="PingFang TC" w:hint="eastAsia"/>
        </w:rPr>
        <w:t>斋</w:t>
      </w:r>
      <w:r>
        <w:rPr>
          <w:rFonts w:ascii="MS Mincho" w:eastAsia="MS Mincho" w:hAnsi="MS Mincho" w:cs="MS Mincho" w:hint="eastAsia"/>
        </w:rPr>
        <w:t>石出版社</w:t>
      </w:r>
      <w:proofErr w:type="spellEnd"/>
      <w:r>
        <w:t>, 1903, p. 2.</w:t>
      </w:r>
    </w:p>
    <w:p w14:paraId="0B220A97" w14:textId="77777777" w:rsidR="00034774" w:rsidRDefault="00034774" w:rsidP="00034774">
      <w:pPr>
        <w:spacing w:line="480" w:lineRule="auto"/>
      </w:pPr>
      <w:r>
        <w:t>5</w:t>
      </w:r>
      <w:r>
        <w:rPr>
          <w:rFonts w:ascii="MS Mincho" w:eastAsia="MS Mincho" w:hAnsi="MS Mincho" w:cs="MS Mincho" w:hint="eastAsia"/>
        </w:rPr>
        <w:t>董作</w:t>
      </w:r>
      <w:r>
        <w:rPr>
          <w:rFonts w:ascii="PingFang TC" w:eastAsia="PingFang TC" w:hAnsi="PingFang TC" w:cs="PingFang TC" w:hint="eastAsia"/>
        </w:rPr>
        <w:t>宾</w:t>
      </w:r>
      <w:r>
        <w:t xml:space="preserve"> and </w:t>
      </w:r>
      <w:proofErr w:type="spellStart"/>
      <w:r>
        <w:rPr>
          <w:rFonts w:ascii="MS Mincho" w:eastAsia="MS Mincho" w:hAnsi="MS Mincho" w:cs="MS Mincho" w:hint="eastAsia"/>
        </w:rPr>
        <w:t>胡厚宣</w:t>
      </w:r>
      <w:proofErr w:type="spellEnd"/>
      <w:r>
        <w:t xml:space="preserve">. </w:t>
      </w:r>
      <w:proofErr w:type="spellStart"/>
      <w:r>
        <w:rPr>
          <w:rFonts w:ascii="MS Mincho" w:eastAsia="MS Mincho" w:hAnsi="MS Mincho" w:cs="MS Mincho" w:hint="eastAsia"/>
        </w:rPr>
        <w:t>甲骨年表</w:t>
      </w:r>
      <w:proofErr w:type="spellEnd"/>
      <w:r>
        <w:t xml:space="preserve">. </w:t>
      </w:r>
      <w:proofErr w:type="spellStart"/>
      <w:r>
        <w:rPr>
          <w:rFonts w:ascii="MS Mincho" w:eastAsia="MS Mincho" w:hAnsi="MS Mincho" w:cs="MS Mincho" w:hint="eastAsia"/>
        </w:rPr>
        <w:t>立中央究院史言究所刊</w:t>
      </w:r>
      <w:proofErr w:type="spellEnd"/>
      <w:r>
        <w:t xml:space="preserve">: </w:t>
      </w:r>
      <w:r>
        <w:rPr>
          <w:rFonts w:ascii="MS Mincho" w:eastAsia="MS Mincho" w:hAnsi="MS Mincho" w:cs="MS Mincho" w:hint="eastAsia"/>
        </w:rPr>
        <w:t>乙</w:t>
      </w:r>
      <w:r>
        <w:t xml:space="preserve">. </w:t>
      </w:r>
      <w:proofErr w:type="spellStart"/>
      <w:r>
        <w:rPr>
          <w:rFonts w:ascii="MS Mincho" w:eastAsia="MS Mincho" w:hAnsi="MS Mincho" w:cs="MS Mincho" w:hint="eastAsia"/>
        </w:rPr>
        <w:t>商印</w:t>
      </w:r>
      <w:proofErr w:type="spellEnd"/>
      <w:r>
        <w:t>, 1937.</w:t>
      </w:r>
    </w:p>
    <w:p w14:paraId="33FD058B" w14:textId="77777777" w:rsidR="00034774" w:rsidRDefault="00034774" w:rsidP="00034774">
      <w:pPr>
        <w:spacing w:line="480" w:lineRule="auto"/>
      </w:pPr>
      <w:r>
        <w:t>6</w:t>
      </w:r>
      <w:r>
        <w:rPr>
          <w:rFonts w:ascii="MS Mincho" w:eastAsia="MS Mincho" w:hAnsi="MS Mincho" w:cs="MS Mincho" w:hint="eastAsia"/>
        </w:rPr>
        <w:t>殷墟契考</w:t>
      </w:r>
      <w:r>
        <w:t xml:space="preserve">. </w:t>
      </w:r>
      <w:proofErr w:type="spellStart"/>
      <w:r>
        <w:rPr>
          <w:rFonts w:ascii="PingFang TC" w:eastAsia="PingFang TC" w:hAnsi="PingFang TC" w:cs="PingFang TC" w:hint="eastAsia"/>
        </w:rPr>
        <w:t>东</w:t>
      </w:r>
      <w:r>
        <w:rPr>
          <w:rFonts w:ascii="MS Mincho" w:eastAsia="MS Mincho" w:hAnsi="MS Mincho" w:cs="MS Mincho" w:hint="eastAsia"/>
        </w:rPr>
        <w:t>方学会石印</w:t>
      </w:r>
      <w:proofErr w:type="spellEnd"/>
      <w:r>
        <w:t>, 1915.</w:t>
      </w:r>
    </w:p>
    <w:p w14:paraId="0CCA724D" w14:textId="77777777" w:rsidR="00034774" w:rsidRDefault="00034774" w:rsidP="00034774">
      <w:pPr>
        <w:spacing w:line="480" w:lineRule="auto"/>
      </w:pPr>
      <w:r>
        <w:t xml:space="preserve">7Ji Li. An Yang. </w:t>
      </w:r>
      <w:proofErr w:type="spellStart"/>
      <w:r>
        <w:t>P.R.China</w:t>
      </w:r>
      <w:proofErr w:type="spellEnd"/>
      <w:r>
        <w:t xml:space="preserve">: Hebei </w:t>
      </w:r>
      <w:proofErr w:type="spellStart"/>
      <w:r>
        <w:t>Jiaoyu</w:t>
      </w:r>
      <w:proofErr w:type="spellEnd"/>
      <w:r>
        <w:t xml:space="preserve"> Publisher, 2000, p. 36.</w:t>
      </w:r>
    </w:p>
    <w:p w14:paraId="4D8FAE6B" w14:textId="77777777" w:rsidR="00034774" w:rsidRDefault="00034774" w:rsidP="00034774">
      <w:pPr>
        <w:spacing w:line="480" w:lineRule="auto"/>
      </w:pPr>
      <w:r>
        <w:t>8</w:t>
      </w:r>
      <w:r>
        <w:rPr>
          <w:rFonts w:ascii="PingFang TC" w:eastAsia="PingFang TC" w:hAnsi="PingFang TC" w:cs="PingFang TC" w:hint="eastAsia"/>
        </w:rPr>
        <w:t>孙亚</w:t>
      </w:r>
      <w:r>
        <w:rPr>
          <w:rFonts w:ascii="MS Mincho" w:eastAsia="MS Mincho" w:hAnsi="MS Mincho" w:cs="MS Mincho" w:hint="eastAsia"/>
        </w:rPr>
        <w:t>冰</w:t>
      </w:r>
      <w:r>
        <w:t>. “</w:t>
      </w:r>
      <w:proofErr w:type="spellStart"/>
      <w:r>
        <w:rPr>
          <w:rFonts w:ascii="MS Mincho" w:eastAsia="MS Mincho" w:hAnsi="MS Mincho" w:cs="MS Mincho" w:hint="eastAsia"/>
        </w:rPr>
        <w:t>百年来甲骨文材料</w:t>
      </w:r>
      <w:r>
        <w:rPr>
          <w:rFonts w:ascii="PingFang TC" w:eastAsia="PingFang TC" w:hAnsi="PingFang TC" w:cs="PingFang TC" w:hint="eastAsia"/>
        </w:rPr>
        <w:t>统计</w:t>
      </w:r>
      <w:proofErr w:type="spellEnd"/>
      <w:r>
        <w:rPr>
          <w:rFonts w:hint="eastAsia"/>
        </w:rPr>
        <w:t>”</w:t>
      </w:r>
      <w:r>
        <w:t xml:space="preserve">. In: </w:t>
      </w:r>
      <w:proofErr w:type="spellStart"/>
      <w:r>
        <w:rPr>
          <w:rFonts w:ascii="MS Mincho" w:eastAsia="MS Mincho" w:hAnsi="MS Mincho" w:cs="MS Mincho" w:hint="eastAsia"/>
        </w:rPr>
        <w:t>中国社科院</w:t>
      </w:r>
      <w:r>
        <w:rPr>
          <w:rFonts w:ascii="PingFang TC" w:eastAsia="PingFang TC" w:hAnsi="PingFang TC" w:cs="PingFang TC" w:hint="eastAsia"/>
        </w:rPr>
        <w:t>历</w:t>
      </w:r>
      <w:r>
        <w:rPr>
          <w:rFonts w:ascii="MS Mincho" w:eastAsia="MS Mincho" w:hAnsi="MS Mincho" w:cs="MS Mincho" w:hint="eastAsia"/>
        </w:rPr>
        <w:t>史所</w:t>
      </w:r>
      <w:proofErr w:type="spellEnd"/>
      <w:r>
        <w:t xml:space="preserve"> (2007).</w:t>
      </w:r>
    </w:p>
    <w:p w14:paraId="1C230C6D" w14:textId="77777777" w:rsidR="00034774" w:rsidRDefault="00034774" w:rsidP="00034774">
      <w:pPr>
        <w:spacing w:line="480" w:lineRule="auto"/>
      </w:pPr>
      <w:r>
        <w:t>1</w:t>
      </w:r>
    </w:p>
    <w:p w14:paraId="07A06501" w14:textId="77777777" w:rsidR="00034774" w:rsidRDefault="00034774" w:rsidP="00034774">
      <w:pPr>
        <w:spacing w:line="480" w:lineRule="auto"/>
      </w:pPr>
      <w:r>
        <w:t xml:space="preserve"> </w:t>
      </w:r>
    </w:p>
    <w:p w14:paraId="174985E7" w14:textId="57164491" w:rsidR="00034774" w:rsidRDefault="007651E1" w:rsidP="00034774">
      <w:pPr>
        <w:spacing w:line="480" w:lineRule="auto"/>
      </w:pPr>
      <w:r>
        <w:tab/>
      </w:r>
      <w:r w:rsidR="00034774">
        <w:t>There are totally about 1,000,000 characters collected from total about 53,834 pieces of OBs with inscriptions. 9</w:t>
      </w:r>
      <w:r>
        <w:t xml:space="preserve"> </w:t>
      </w:r>
      <w:r w:rsidR="00034774">
        <w:t>About</w:t>
      </w:r>
      <w:r>
        <w:t xml:space="preserve"> </w:t>
      </w:r>
      <w:r w:rsidR="00034774">
        <w:t>6,000</w:t>
      </w:r>
      <w:r>
        <w:t xml:space="preserve"> </w:t>
      </w:r>
      <w:r w:rsidR="00034774">
        <w:t>identical</w:t>
      </w:r>
      <w:r>
        <w:t xml:space="preserve"> </w:t>
      </w:r>
      <w:r w:rsidR="00034774">
        <w:t>characters</w:t>
      </w:r>
      <w:r>
        <w:t xml:space="preserve"> </w:t>
      </w:r>
      <w:r w:rsidR="00034774">
        <w:t>were</w:t>
      </w:r>
      <w:r>
        <w:t xml:space="preserve"> </w:t>
      </w:r>
      <w:r w:rsidR="00034774">
        <w:t>collected</w:t>
      </w:r>
      <w:r>
        <w:t xml:space="preserve"> </w:t>
      </w:r>
      <w:r w:rsidR="00034774">
        <w:t>into</w:t>
      </w:r>
      <w:r>
        <w:t xml:space="preserve"> </w:t>
      </w:r>
      <w:r w:rsidR="00034774">
        <w:t>the</w:t>
      </w:r>
      <w:r>
        <w:t xml:space="preserve"> </w:t>
      </w:r>
      <w:r w:rsidR="00034774">
        <w:t>computer</w:t>
      </w:r>
      <w:r>
        <w:t xml:space="preserve"> </w:t>
      </w:r>
      <w:r w:rsidR="00034774">
        <w:t>system,</w:t>
      </w:r>
      <w:r>
        <w:t xml:space="preserve"> </w:t>
      </w:r>
      <w:r w:rsidR="00034774">
        <w:t>and</w:t>
      </w:r>
      <w:r>
        <w:t xml:space="preserve"> </w:t>
      </w:r>
      <w:r w:rsidR="00034774">
        <w:t>nearly</w:t>
      </w:r>
      <w:r>
        <w:t xml:space="preserve"> </w:t>
      </w:r>
      <w:r w:rsidR="00034774">
        <w:t>2,000</w:t>
      </w:r>
      <w:r>
        <w:t xml:space="preserve"> </w:t>
      </w:r>
      <w:r w:rsidR="00034774">
        <w:t>of</w:t>
      </w:r>
      <w:r>
        <w:t xml:space="preserve"> </w:t>
      </w:r>
      <w:r w:rsidR="00034774">
        <w:t>them</w:t>
      </w:r>
      <w:r>
        <w:t xml:space="preserve"> </w:t>
      </w:r>
      <w:r w:rsidR="00034774">
        <w:t>have</w:t>
      </w:r>
      <w:r>
        <w:t xml:space="preserve"> </w:t>
      </w:r>
      <w:r w:rsidR="00034774">
        <w:t>been recognized.10 The quantity and authentication of published data are qualified enough for full scale research.</w:t>
      </w:r>
    </w:p>
    <w:p w14:paraId="33BE7B8C" w14:textId="0C515BDA" w:rsidR="00F21557" w:rsidRDefault="007651E1" w:rsidP="00034774">
      <w:pPr>
        <w:spacing w:line="480" w:lineRule="auto"/>
      </w:pPr>
      <w:r>
        <w:lastRenderedPageBreak/>
        <w:tab/>
      </w:r>
      <w:r w:rsidR="00034774">
        <w:t>The early scholars played an important role and made great achievement in the past century. However, as excavation was nearly exhausted and the information from classic books and bronze scripts almost reached its limit, the progress of OBI study nearly comes to a standstill, even though the National Museum of Chinese Writing in Anyang, Henan province, offered a hefty reward in 2017, 11 which made things worse due to misleading.</w:t>
      </w:r>
      <w:r w:rsidR="00F21557">
        <w:t xml:space="preserve"> </w:t>
      </w:r>
    </w:p>
    <w:p w14:paraId="2D967AB5" w14:textId="73AB53AB" w:rsidR="00F21557" w:rsidRDefault="00F21557">
      <w:pPr>
        <w:spacing w:line="480" w:lineRule="auto"/>
      </w:pPr>
      <w:r>
        <w:t xml:space="preserve"> </w:t>
      </w:r>
    </w:p>
    <w:p w14:paraId="0EB5B1F9" w14:textId="6B7951D4" w:rsidR="007651E1" w:rsidRDefault="007651E1">
      <w:pPr>
        <w:spacing w:line="480" w:lineRule="auto"/>
      </w:pPr>
    </w:p>
    <w:p w14:paraId="284530F2" w14:textId="0173825E" w:rsidR="007651E1" w:rsidRDefault="007651E1">
      <w:pPr>
        <w:spacing w:line="480" w:lineRule="auto"/>
      </w:pPr>
    </w:p>
    <w:p w14:paraId="475D0A71" w14:textId="77777777" w:rsidR="007651E1" w:rsidRDefault="007651E1">
      <w:pPr>
        <w:spacing w:line="480" w:lineRule="auto"/>
      </w:pPr>
    </w:p>
    <w:p w14:paraId="00EE4B39" w14:textId="77777777" w:rsidR="00F21557" w:rsidRDefault="00F21557">
      <w:pPr>
        <w:spacing w:line="480" w:lineRule="auto"/>
      </w:pPr>
      <w:r>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lastRenderedPageBreak/>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w:t>
      </w:r>
      <w:r>
        <w:lastRenderedPageBreak/>
        <w:t xml:space="preserve">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7777777" w:rsidR="00F21557" w:rsidRDefault="00F21557">
      <w:pPr>
        <w:spacing w:line="480" w:lineRule="auto"/>
      </w:pPr>
      <w:r>
        <w:tab/>
        <w:t>A significant difference between this paper and any other study on Genesis 2:24 is that the paper applies a research method integrating the contextualization approach with etymology and etiology.</w:t>
      </w:r>
    </w:p>
    <w:p w14:paraId="44FF5726" w14:textId="31318C95" w:rsidR="00F21557" w:rsidRDefault="00F21557">
      <w:pPr>
        <w:spacing w:line="480" w:lineRule="auto"/>
      </w:pPr>
      <w:r>
        <w:tab/>
        <w:t xml:space="preserve">Simply speaking in missiology, contextualization means an interpretation of the local cultural context into the biblical context. The opposite of contextualization is </w:t>
      </w:r>
      <w:r w:rsidR="00171219" w:rsidRPr="00171219">
        <w:t>syncretism</w:t>
      </w:r>
      <w:r>
        <w:t xml:space="preserve">, which means reconciling and uniting the biblical context into local cultural context.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w:t>
      </w:r>
      <w:r>
        <w:lastRenderedPageBreak/>
        <w:t xml:space="preserve">Gospel thriving process. On the other hand, the Word of God is mutated and misused in the local culture, undergoing a </w:t>
      </w:r>
      <w:r w:rsidR="00171219" w:rsidRPr="00171219">
        <w:t xml:space="preserve">syncretism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God communicates with people, He communicates in that culture's 'cultural river' (this phrase is used by John H. Walton </w:t>
      </w:r>
      <w:r>
        <w:rPr>
          <w:rStyle w:val="FootnoteReference"/>
        </w:rPr>
        <w:footnoteReference w:id="1"/>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lastRenderedPageBreak/>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2"/>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w:t>
      </w:r>
      <w:r>
        <w:lastRenderedPageBreak/>
        <w:t xml:space="preserve">of), (4) the sense of a simile (e.g., God is like a caring father, ) </w:t>
      </w:r>
      <w:r>
        <w:rPr>
          <w:rStyle w:val="FootnoteReference"/>
        </w:rPr>
        <w:footnoteReference w:id="3"/>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4"/>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5"/>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6"/>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7"/>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8"/>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9"/>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0"/>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1"/>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2"/>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3"/>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14"/>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15"/>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16"/>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17"/>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18"/>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19"/>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0"/>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1"/>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2"/>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3"/>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24"/>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25"/>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26"/>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27"/>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28"/>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29"/>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0"/>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1"/>
      </w:r>
      <w:r>
        <w:rPr>
          <w:color w:val="FFFFFF" w:themeColor="background1"/>
          <w:sz w:val="10"/>
          <w:szCs w:val="10"/>
        </w:rPr>
        <w:t>(</w:t>
      </w:r>
      <w:r>
        <w:t xml:space="preserve"> But due to the Fall of man, “the language is being used to subvert God.” </w:t>
      </w:r>
      <w:r>
        <w:rPr>
          <w:rStyle w:val="FootnoteReference"/>
        </w:rPr>
        <w:footnoteReference w:id="32"/>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3"/>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34"/>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77777777" w:rsidR="00F21557" w:rsidRDefault="00F21557">
      <w:pPr>
        <w:spacing w:line="480" w:lineRule="auto"/>
        <w:rPr>
          <w:b/>
          <w:bCs/>
        </w:rPr>
      </w:pPr>
      <w:r>
        <w:rPr>
          <w:b/>
          <w:bCs/>
        </w:rPr>
        <w:t>The First Broken Human Family After the Fall:</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77777777" w:rsidR="00F21557" w:rsidRDefault="00F21557">
      <w:pPr>
        <w:spacing w:line="480" w:lineRule="auto"/>
        <w:rPr>
          <w:color w:val="000000"/>
          <w:shd w:val="clear" w:color="auto" w:fill="FFFFFF"/>
        </w:rPr>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1D0A8E06" w14:textId="77777777" w:rsidR="00F21557" w:rsidRDefault="00F21557">
      <w:pPr>
        <w:spacing w:line="480" w:lineRule="auto"/>
        <w:rPr>
          <w:color w:val="000000"/>
          <w:shd w:val="clear" w:color="auto" w:fill="FFFFFF"/>
        </w:rPr>
      </w:pPr>
      <w:r>
        <w:rPr>
          <w:color w:val="000000"/>
          <w:shd w:val="clear" w:color="auto" w:fill="FFFFFF"/>
        </w:rPr>
        <w:t xml:space="preserve"> </w:t>
      </w:r>
    </w:p>
    <w:p w14:paraId="38F74995" w14:textId="77777777" w:rsidR="00F21557" w:rsidRDefault="00F21557">
      <w:pPr>
        <w:spacing w:line="480" w:lineRule="auto"/>
        <w:rPr>
          <w:color w:val="000000"/>
          <w:shd w:val="clear" w:color="auto" w:fill="FFFFFF"/>
        </w:rPr>
      </w:pPr>
      <w:r>
        <w:rPr>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xml:space="preserve">." (Luk3:38 NIV) In another word, Adam and Eve are not orphans, and they have a parent who was </w:t>
      </w:r>
      <w:r>
        <w:lastRenderedPageBreak/>
        <w:t>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35"/>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36"/>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lastRenderedPageBreak/>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37"/>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38"/>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39"/>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lastRenderedPageBreak/>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0"/>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1"/>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2"/>
      </w:r>
      <w:r>
        <w:rPr>
          <w:color w:val="000000"/>
          <w:shd w:val="clear" w:color="auto" w:fill="FFFFFF"/>
        </w:rPr>
        <w:t>, a significant difference between Genesis 1 and Genesis 2 is that Genesis 1 uses the single word ‘Elohim’ to refer to God, whereas in Genesis 2-3, talking about the Adam and 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xml:space="preserve">), husband and </w:t>
      </w:r>
      <w:r>
        <w:rPr>
          <w:color w:val="000000"/>
          <w:shd w:val="clear" w:color="auto" w:fill="FFFFFF"/>
        </w:rPr>
        <w:lastRenderedPageBreak/>
        <w:t>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3"/>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w:t>
      </w:r>
      <w:r>
        <w:rPr>
          <w:color w:val="000000"/>
          <w:shd w:val="clear" w:color="auto" w:fill="FFFFFF"/>
        </w:rPr>
        <w:lastRenderedPageBreak/>
        <w:t xml:space="preserve">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after the Fall (Gen3:20) which implied ‘mother of all living.’ There are at least three most </w:t>
      </w:r>
      <w:r>
        <w:lastRenderedPageBreak/>
        <w:t xml:space="preserve">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44"/>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45"/>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tab/>
      </w:r>
      <w:r>
        <w:br/>
        <w:t xml:space="preserve"> </w:t>
      </w:r>
      <w:r>
        <w:rPr>
          <w:b/>
          <w:bCs/>
        </w:rPr>
        <w:t>E. ‘Father and Mother’ : Adam’s Right and Capability from God</w:t>
      </w:r>
    </w:p>
    <w:p w14:paraId="04E60954" w14:textId="77777777" w:rsidR="00F21557" w:rsidRDefault="00F21557">
      <w:pPr>
        <w:spacing w:line="480" w:lineRule="auto"/>
      </w:pPr>
      <w:r>
        <w:lastRenderedPageBreak/>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It’s not hard to find that Adam’s speech (Gen2:23) was inspired by God. Genesis 2:21 shows that when God was creating Eve, Adam was asleep. Without the inspiration or instruction of God, Adam was not able to say that the woman was from his ribs and flesh (2:23). Likewise, without the inspiration or instruction of God, Adam was not able to say his father and mother (2:24).</w:t>
      </w:r>
      <w:r>
        <w:br/>
      </w:r>
      <w:r>
        <w:lastRenderedPageBreak/>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w:t>
      </w:r>
      <w:r>
        <w:lastRenderedPageBreak/>
        <w:t xml:space="preserve">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lastRenderedPageBreak/>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between God and man, the initial version of the Mosaic familial law and constitution, the first </w:t>
      </w:r>
      <w:r>
        <w:lastRenderedPageBreak/>
        <w:t xml:space="preserve">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 xml:space="preserve">It should be shameful that the Pharisees merely argue over the divorce rather </w:t>
      </w:r>
      <w:r w:rsidR="00D53DE5">
        <w:t xml:space="preserve">than </w:t>
      </w:r>
      <w:r w:rsidR="00113081">
        <w:t>above contradicti</w:t>
      </w:r>
      <w:r w:rsidR="00D53DE5">
        <w:t>ng</w:t>
      </w:r>
      <w:r w:rsidR="00113081">
        <w:t xml:space="preserve"> issues. 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46"/>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47"/>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1D436143" w14:textId="77777777" w:rsidR="00F21557"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is one of the most debated topics in Christian history. The paper shows that a key to understanding the theological meaning of the sonship of Jesus is to understand the human family. The etymological and etiological familial vocabulary study shows that when God created the man, God also created the family of the man. What the ‘male’ and ‘female’ originally meant to God in Genesis 1:27 is not about the sex or gender but about the human family. God created man and family in the same sixth day in the same creation process. Man and family are indivisible in the beginning. </w:t>
      </w:r>
    </w:p>
    <w:p w14:paraId="3CF70D2C" w14:textId="77777777" w:rsidR="00F21557" w:rsidRDefault="00F21557">
      <w:pPr>
        <w:spacing w:line="480" w:lineRule="auto"/>
      </w:pPr>
      <w:r>
        <w:tab/>
        <w:t xml:space="preserve">The familial study of Genesis 2:24 concluded that God designed and ordained the complicated and strict familial structure and the relationship. The purpose of the family is to </w:t>
      </w:r>
      <w:r>
        <w:lastRenderedPageBreak/>
        <w:t xml:space="preserve">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symbolic titles or metaphors or any kind of literal device, but the real members of the real family with a passionate relationship and binding. </w:t>
      </w:r>
    </w:p>
    <w:p w14:paraId="6CC135E9" w14:textId="77777777" w:rsidR="00F21557" w:rsidRDefault="00F21557">
      <w:pPr>
        <w:spacing w:line="480" w:lineRule="auto"/>
      </w:pPr>
      <w:r>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w:t>
      </w:r>
      <w:r>
        <w:lastRenderedPageBreak/>
        <w:t xml:space="preserve">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being"; the last Adam, a lifegiving spirit." (1Co15:45 NIV). This implies that God created Adam from the dust of the ground to prepare for Jesus Christ who was the Son whom God expected. "What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7777777"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1C617" w14:textId="77777777" w:rsidR="00CF51E4" w:rsidRDefault="00CF51E4">
      <w:r>
        <w:separator/>
      </w:r>
    </w:p>
  </w:endnote>
  <w:endnote w:type="continuationSeparator" w:id="0">
    <w:p w14:paraId="0F3F64E3" w14:textId="77777777" w:rsidR="00CF51E4" w:rsidRDefault="00CF5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ingFang TC">
    <w:altName w:val="PingFang TC"/>
    <w:panose1 w:val="020B0400000000000000"/>
    <w:charset w:val="88"/>
    <w:family w:val="swiss"/>
    <w:pitch w:val="variable"/>
    <w:sig w:usb0="A00002FF" w:usb1="7ACFFDFB" w:usb2="00000017"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94128" w14:textId="77777777" w:rsidR="00CF51E4" w:rsidRDefault="00CF51E4">
      <w:r>
        <w:separator/>
      </w:r>
    </w:p>
  </w:footnote>
  <w:footnote w:type="continuationSeparator" w:id="0">
    <w:p w14:paraId="71DEB47C" w14:textId="77777777" w:rsidR="00CF51E4" w:rsidRDefault="00CF51E4">
      <w:r>
        <w:continuationSeparator/>
      </w:r>
    </w:p>
  </w:footnote>
  <w:footnote w:id="1">
    <w:p w14:paraId="05BE54DF" w14:textId="77777777" w:rsidR="00F21557" w:rsidRDefault="00F21557">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F21557" w:rsidRDefault="00F21557">
      <w:pPr>
        <w:pStyle w:val="FootnoteText"/>
        <w:ind w:firstLine="720"/>
      </w:pPr>
    </w:p>
  </w:footnote>
  <w:footnote w:id="2">
    <w:p w14:paraId="04BFF2FC" w14:textId="77777777" w:rsidR="00F21557" w:rsidRDefault="00F21557">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F21557" w:rsidRDefault="00F21557">
      <w:pPr>
        <w:pStyle w:val="FootnoteText"/>
        <w:ind w:firstLine="720"/>
      </w:pPr>
    </w:p>
  </w:footnote>
  <w:footnote w:id="3">
    <w:p w14:paraId="77B3FD20" w14:textId="77777777" w:rsidR="00F21557" w:rsidRDefault="00F21557">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F21557" w:rsidRDefault="00F21557">
      <w:pPr>
        <w:pStyle w:val="FootnoteText"/>
        <w:ind w:firstLine="720"/>
      </w:pPr>
    </w:p>
  </w:footnote>
  <w:footnote w:id="4">
    <w:p w14:paraId="3516C3D1" w14:textId="77777777" w:rsidR="00F21557" w:rsidRDefault="00F21557">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4562F6DA" w14:textId="77777777" w:rsidR="00F21557" w:rsidRDefault="00F21557">
      <w:pPr>
        <w:pStyle w:val="FootnoteText"/>
        <w:ind w:firstLine="720"/>
      </w:pPr>
    </w:p>
  </w:footnote>
  <w:footnote w:id="5">
    <w:p w14:paraId="00A4DF71" w14:textId="77777777" w:rsidR="00F21557" w:rsidRDefault="00F21557">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1" w:history="1">
        <w:r>
          <w:rPr>
            <w:rStyle w:val="Hyperlink"/>
          </w:rPr>
          <w:t>https://biblehub.com/commentaries/genesis/2-24.htm</w:t>
        </w:r>
      </w:hyperlink>
      <w:r>
        <w:t>.</w:t>
      </w:r>
    </w:p>
    <w:p w14:paraId="501CA826" w14:textId="77777777" w:rsidR="00F21557" w:rsidRDefault="00F21557">
      <w:pPr>
        <w:pStyle w:val="FootnoteText"/>
        <w:ind w:firstLine="720"/>
      </w:pPr>
    </w:p>
  </w:footnote>
  <w:footnote w:id="6">
    <w:p w14:paraId="766B9930" w14:textId="77777777" w:rsidR="00F21557" w:rsidRDefault="00F21557">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18E0B483" w14:textId="77777777" w:rsidR="00F21557" w:rsidRDefault="00F21557">
      <w:pPr>
        <w:pStyle w:val="FootnoteText"/>
        <w:ind w:firstLine="720"/>
      </w:pPr>
    </w:p>
  </w:footnote>
  <w:footnote w:id="7">
    <w:p w14:paraId="7F79B29E" w14:textId="77777777" w:rsidR="00F21557" w:rsidRDefault="00F21557">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xml:space="preserve">. UK: Cambridge University Press, 1882. </w:t>
      </w:r>
      <w:hyperlink r:id="rId2" w:history="1">
        <w:r>
          <w:rPr>
            <w:rStyle w:val="Hyperlink"/>
          </w:rPr>
          <w:t>https://biblehub.com/commentaries/genesis/2-24.htm</w:t>
        </w:r>
      </w:hyperlink>
      <w:r>
        <w:t>.</w:t>
      </w:r>
    </w:p>
    <w:p w14:paraId="7AC65DF7" w14:textId="77777777" w:rsidR="00F21557" w:rsidRDefault="00F21557">
      <w:pPr>
        <w:pStyle w:val="FootnoteText"/>
        <w:ind w:firstLine="720"/>
      </w:pPr>
    </w:p>
  </w:footnote>
  <w:footnote w:id="8">
    <w:p w14:paraId="270FD5A0" w14:textId="77777777" w:rsidR="00F21557" w:rsidRDefault="00F21557">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xml:space="preserve">, 1870. </w:t>
      </w:r>
      <w:hyperlink r:id="rId3" w:history="1">
        <w:r>
          <w:rPr>
            <w:rStyle w:val="Hyperlink"/>
          </w:rPr>
          <w:t>https://biblehub.com/commentaries/genesis/2-24.htm</w:t>
        </w:r>
      </w:hyperlink>
      <w:r>
        <w:t>.</w:t>
      </w:r>
    </w:p>
    <w:p w14:paraId="25832F92" w14:textId="77777777" w:rsidR="00F21557" w:rsidRDefault="00F21557">
      <w:pPr>
        <w:pStyle w:val="FootnoteText"/>
        <w:ind w:firstLine="720"/>
      </w:pPr>
    </w:p>
  </w:footnote>
  <w:footnote w:id="9">
    <w:p w14:paraId="34C4C2B7" w14:textId="77777777" w:rsidR="00F21557" w:rsidRDefault="00F21557">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10">
    <w:p w14:paraId="7B6EB5AD" w14:textId="77777777" w:rsidR="00F21557" w:rsidRDefault="00F21557">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xml:space="preserve"> Vol. 52 Issue 3 (Jul 1990) p391.</w:t>
      </w:r>
    </w:p>
    <w:p w14:paraId="613CADD3" w14:textId="77777777" w:rsidR="00F21557" w:rsidRDefault="00F21557">
      <w:pPr>
        <w:pStyle w:val="FootnoteText"/>
        <w:ind w:firstLine="720"/>
      </w:pPr>
    </w:p>
  </w:footnote>
  <w:footnote w:id="11">
    <w:p w14:paraId="6FE55AC8" w14:textId="77777777" w:rsidR="00F21557" w:rsidRDefault="00F21557">
      <w:pPr>
        <w:pStyle w:val="FootnoteText"/>
        <w:ind w:firstLine="720"/>
      </w:pPr>
      <w:r>
        <w:rPr>
          <w:rStyle w:val="FootnoteReference"/>
        </w:rPr>
        <w:footnoteRef/>
      </w:r>
      <w:r>
        <w:t xml:space="preserve"> Matthew Henry. </w:t>
      </w:r>
      <w:r>
        <w:rPr>
          <w:i/>
          <w:iCs/>
        </w:rPr>
        <w:t>Matthew Henry's Concise Commentary</w:t>
      </w:r>
      <w:r>
        <w:t xml:space="preserve">. </w:t>
      </w:r>
      <w:proofErr w:type="spellStart"/>
      <w:r>
        <w:t>N.p.</w:t>
      </w:r>
      <w:proofErr w:type="spellEnd"/>
      <w:r>
        <w:t>, 1714.</w:t>
      </w:r>
    </w:p>
    <w:p w14:paraId="4CD89069" w14:textId="77777777" w:rsidR="00F21557" w:rsidRDefault="00F21557">
      <w:pPr>
        <w:pStyle w:val="FootnoteText"/>
        <w:ind w:firstLine="720"/>
      </w:pPr>
    </w:p>
  </w:footnote>
  <w:footnote w:id="12">
    <w:p w14:paraId="2B28D966" w14:textId="77777777" w:rsidR="00F21557" w:rsidRDefault="00F21557">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w:t>
      </w:r>
      <w:proofErr w:type="spellStart"/>
      <w:r>
        <w:t>N.p.</w:t>
      </w:r>
      <w:proofErr w:type="spellEnd"/>
      <w:r>
        <w:t xml:space="preserve">, 1871. </w:t>
      </w:r>
      <w:hyperlink r:id="rId4" w:history="1">
        <w:r>
          <w:rPr>
            <w:rStyle w:val="Hyperlink"/>
          </w:rPr>
          <w:t>https://biblehub.com/commentaries/genesis/2-24.htm</w:t>
        </w:r>
      </w:hyperlink>
      <w:r>
        <w:t>.</w:t>
      </w:r>
    </w:p>
    <w:p w14:paraId="5928DBF2" w14:textId="77777777" w:rsidR="00F21557" w:rsidRDefault="00F21557">
      <w:pPr>
        <w:pStyle w:val="FootnoteText"/>
        <w:ind w:firstLine="720"/>
      </w:pPr>
    </w:p>
  </w:footnote>
  <w:footnote w:id="13">
    <w:p w14:paraId="0F8AAE1B" w14:textId="77777777" w:rsidR="00F21557" w:rsidRDefault="00F21557">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1870. https://biblehub.com/commentaries/genesis/2-24.htm.</w:t>
      </w:r>
    </w:p>
  </w:footnote>
  <w:footnote w:id="14">
    <w:p w14:paraId="5645F775" w14:textId="77777777" w:rsidR="00F21557" w:rsidRDefault="00F21557">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5" w:history="1">
        <w:r>
          <w:rPr>
            <w:rStyle w:val="Hyperlink"/>
          </w:rPr>
          <w:t>https://biblehub.com/commentaries/genesis/2-24.htm</w:t>
        </w:r>
      </w:hyperlink>
      <w:r>
        <w:t>.</w:t>
      </w:r>
    </w:p>
    <w:p w14:paraId="55331F71" w14:textId="77777777" w:rsidR="00F21557" w:rsidRDefault="00F21557">
      <w:pPr>
        <w:pStyle w:val="FootnoteText"/>
        <w:ind w:firstLine="720"/>
      </w:pPr>
    </w:p>
  </w:footnote>
  <w:footnote w:id="15">
    <w:p w14:paraId="254A0705" w14:textId="77777777" w:rsidR="00F21557" w:rsidRDefault="00F21557">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UK: Cambridge University Press, 1882. https://biblehub.com/commentaries/genesis/2-24.htm.</w:t>
      </w:r>
    </w:p>
  </w:footnote>
  <w:footnote w:id="16">
    <w:p w14:paraId="23FC23E8" w14:textId="77777777" w:rsidR="00F21557" w:rsidRDefault="00F21557">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1AFA5400" w14:textId="77777777" w:rsidR="00F21557" w:rsidRDefault="00F21557">
      <w:pPr>
        <w:pStyle w:val="FootnoteText"/>
        <w:ind w:firstLine="720"/>
      </w:pPr>
    </w:p>
  </w:footnote>
  <w:footnote w:id="17">
    <w:p w14:paraId="107539E0" w14:textId="77777777" w:rsidR="00F21557" w:rsidRDefault="00F21557">
      <w:pPr>
        <w:pStyle w:val="FootnoteText"/>
        <w:ind w:firstLine="720"/>
      </w:pPr>
      <w:r>
        <w:rPr>
          <w:rStyle w:val="FootnoteReference"/>
        </w:rPr>
        <w:footnoteRef/>
      </w:r>
      <w:r>
        <w:t xml:space="preserve"> Matthew Poole. </w:t>
      </w:r>
      <w:r>
        <w:rPr>
          <w:i/>
          <w:iCs/>
        </w:rPr>
        <w:t>Matthew Poole's Commentary</w:t>
      </w:r>
      <w:r>
        <w:t xml:space="preserve">. </w:t>
      </w:r>
      <w:proofErr w:type="spellStart"/>
      <w:r>
        <w:t>N.p.</w:t>
      </w:r>
      <w:proofErr w:type="spellEnd"/>
      <w:r>
        <w:t xml:space="preserve">, 1679. </w:t>
      </w:r>
      <w:hyperlink r:id="rId6" w:history="1">
        <w:r>
          <w:rPr>
            <w:rStyle w:val="Hyperlink"/>
          </w:rPr>
          <w:t>https://biblehub.com/commentaries/genesis/2-24.htm</w:t>
        </w:r>
      </w:hyperlink>
      <w:r>
        <w:t>.</w:t>
      </w:r>
    </w:p>
    <w:p w14:paraId="7C3A10DA" w14:textId="77777777" w:rsidR="00F21557" w:rsidRDefault="00F21557">
      <w:pPr>
        <w:pStyle w:val="FootnoteText"/>
        <w:ind w:firstLine="720"/>
      </w:pPr>
    </w:p>
  </w:footnote>
  <w:footnote w:id="18">
    <w:p w14:paraId="5AA56A2A" w14:textId="77777777" w:rsidR="00F21557" w:rsidRDefault="00F21557">
      <w:pPr>
        <w:pStyle w:val="FootnoteText"/>
        <w:ind w:firstLine="720"/>
      </w:pPr>
      <w:r>
        <w:rPr>
          <w:rStyle w:val="FootnoteReference"/>
        </w:rPr>
        <w:footnoteRef/>
      </w:r>
      <w:r>
        <w:t xml:space="preserve"> Joseph Benson. </w:t>
      </w:r>
      <w:r>
        <w:rPr>
          <w:i/>
          <w:iCs/>
        </w:rPr>
        <w:t>Benson Commentary</w:t>
      </w:r>
      <w:r>
        <w:t xml:space="preserve">. </w:t>
      </w:r>
      <w:proofErr w:type="spellStart"/>
      <w:r>
        <w:t>N.p.</w:t>
      </w:r>
      <w:proofErr w:type="spellEnd"/>
      <w:r>
        <w:t xml:space="preserve">, 1821. </w:t>
      </w:r>
      <w:hyperlink r:id="rId7" w:history="1">
        <w:r>
          <w:rPr>
            <w:rStyle w:val="Hyperlink"/>
          </w:rPr>
          <w:t>https://biblehub.com/commentaries/genesis/2-24.htm</w:t>
        </w:r>
      </w:hyperlink>
      <w:r>
        <w:t>.</w:t>
      </w:r>
    </w:p>
    <w:p w14:paraId="16E6A78D" w14:textId="77777777" w:rsidR="00F21557" w:rsidRDefault="00F21557">
      <w:pPr>
        <w:pStyle w:val="FootnoteText"/>
        <w:ind w:firstLine="720"/>
      </w:pPr>
    </w:p>
  </w:footnote>
  <w:footnote w:id="19">
    <w:p w14:paraId="29B67AFB" w14:textId="77777777" w:rsidR="00F21557" w:rsidRDefault="00F21557">
      <w:pPr>
        <w:pStyle w:val="FootnoteText"/>
        <w:ind w:firstLine="720"/>
      </w:pPr>
      <w:r>
        <w:rPr>
          <w:rStyle w:val="FootnoteReference"/>
        </w:rPr>
        <w:footnoteRef/>
      </w:r>
      <w:r>
        <w:t xml:space="preserve"> John Gill. </w:t>
      </w:r>
      <w:r>
        <w:rPr>
          <w:i/>
          <w:iCs/>
        </w:rPr>
        <w:t>Gill's Exposition of the Entire Bible</w:t>
      </w:r>
      <w:r>
        <w:t xml:space="preserve">. </w:t>
      </w:r>
      <w:proofErr w:type="spellStart"/>
      <w:r>
        <w:t>N.p.</w:t>
      </w:r>
      <w:proofErr w:type="spellEnd"/>
      <w:r>
        <w:t>, 1771.</w:t>
      </w:r>
    </w:p>
    <w:p w14:paraId="5898AFD8" w14:textId="77777777" w:rsidR="00F21557" w:rsidRDefault="00F21557">
      <w:pPr>
        <w:pStyle w:val="FootnoteText"/>
        <w:ind w:firstLine="720"/>
      </w:pPr>
    </w:p>
  </w:footnote>
  <w:footnote w:id="20">
    <w:p w14:paraId="749EE84D" w14:textId="77777777" w:rsidR="00F21557" w:rsidRDefault="00F21557">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0F42D553" w14:textId="77777777" w:rsidR="00F21557" w:rsidRDefault="00F21557">
      <w:pPr>
        <w:pStyle w:val="FootnoteText"/>
        <w:ind w:firstLine="720"/>
      </w:pPr>
    </w:p>
  </w:footnote>
  <w:footnote w:id="21">
    <w:p w14:paraId="11FE94AA" w14:textId="77777777" w:rsidR="00F21557" w:rsidRDefault="00F21557">
      <w:pPr>
        <w:pStyle w:val="FootnoteText"/>
        <w:ind w:firstLine="720"/>
      </w:pPr>
      <w:r>
        <w:rPr>
          <w:rStyle w:val="FootnoteReference"/>
        </w:rPr>
        <w:footnoteRef/>
      </w:r>
      <w:r>
        <w:t xml:space="preserve"> Holmes Welch. </w:t>
      </w:r>
      <w:r>
        <w:rPr>
          <w:i/>
          <w:iCs/>
        </w:rPr>
        <w:t>Taoism: The Parting of the Way</w:t>
      </w:r>
      <w:r>
        <w:t xml:space="preserve">. </w:t>
      </w:r>
      <w:proofErr w:type="spellStart"/>
      <w:r>
        <w:t>N.p.</w:t>
      </w:r>
      <w:proofErr w:type="spellEnd"/>
      <w:r>
        <w:t>, 1957.</w:t>
      </w:r>
    </w:p>
    <w:p w14:paraId="6E9A0A7B" w14:textId="77777777" w:rsidR="00F21557" w:rsidRDefault="00F21557">
      <w:pPr>
        <w:pStyle w:val="FootnoteText"/>
      </w:pPr>
    </w:p>
  </w:footnote>
  <w:footnote w:id="22">
    <w:p w14:paraId="269110E3" w14:textId="77777777" w:rsidR="00F21557" w:rsidRDefault="00F2155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F21557" w:rsidRDefault="00F21557">
      <w:pPr>
        <w:pStyle w:val="FootnoteText"/>
        <w:ind w:firstLine="720"/>
      </w:pPr>
    </w:p>
  </w:footnote>
  <w:footnote w:id="23">
    <w:p w14:paraId="3F9245FA" w14:textId="77777777" w:rsidR="00F21557" w:rsidRDefault="00F21557">
      <w:pPr>
        <w:pStyle w:val="FootnoteText"/>
        <w:ind w:firstLine="720"/>
      </w:pPr>
      <w:r>
        <w:rPr>
          <w:rStyle w:val="FootnoteReference"/>
        </w:rPr>
        <w:footnoteRef/>
      </w:r>
      <w:r>
        <w:t xml:space="preserve"> Angelo </w:t>
      </w:r>
      <w:proofErr w:type="spellStart"/>
      <w:r>
        <w:t>Tosato</w:t>
      </w:r>
      <w:proofErr w:type="spellEnd"/>
      <w:r>
        <w:t>, "On Genesis 2:24" In: </w:t>
      </w:r>
      <w:r>
        <w:rPr>
          <w:i/>
          <w:iCs/>
        </w:rPr>
        <w:t>Catholic Biblical Quarterly</w:t>
      </w:r>
      <w:r>
        <w:t> Vol. 52 Issue 3 (Jul 1990) p389</w:t>
      </w:r>
    </w:p>
    <w:p w14:paraId="699351EC" w14:textId="77777777" w:rsidR="00F21557" w:rsidRDefault="00F21557">
      <w:pPr>
        <w:pStyle w:val="FootnoteText"/>
        <w:ind w:firstLine="720"/>
      </w:pPr>
    </w:p>
  </w:footnote>
  <w:footnote w:id="24">
    <w:p w14:paraId="53BABD39" w14:textId="77777777" w:rsidR="00F21557" w:rsidRDefault="00F21557">
      <w:pPr>
        <w:pStyle w:val="FootnoteText"/>
        <w:ind w:firstLine="720"/>
      </w:pPr>
      <w:r>
        <w:rPr>
          <w:rStyle w:val="FootnoteReference"/>
        </w:rPr>
        <w:footnoteRef/>
      </w:r>
      <w:r>
        <w:t xml:space="preserve"> Fabre </w:t>
      </w:r>
      <w:proofErr w:type="spellStart"/>
      <w:r>
        <w:t>d'Olive</w:t>
      </w:r>
      <w:proofErr w:type="spellEnd"/>
      <w:r>
        <w:t>. </w:t>
      </w:r>
      <w:r>
        <w:rPr>
          <w:i/>
          <w:iCs/>
        </w:rPr>
        <w:t>The Hebraic Tongue Restored: And the True Meaning of the Hebrew Words Re-established and Proved by their Radical Analysis</w:t>
      </w:r>
      <w:r>
        <w:t xml:space="preserve">. New York and London: The </w:t>
      </w:r>
      <w:proofErr w:type="spellStart"/>
      <w:r>
        <w:t>Rnicherbocker</w:t>
      </w:r>
      <w:proofErr w:type="spellEnd"/>
      <w:r>
        <w:t xml:space="preserve"> Press, 1921. p120.</w:t>
      </w:r>
    </w:p>
    <w:p w14:paraId="3DFA2287" w14:textId="77777777" w:rsidR="00F21557" w:rsidRDefault="00F21557">
      <w:pPr>
        <w:pStyle w:val="FootnoteText"/>
        <w:ind w:firstLine="720"/>
      </w:pPr>
    </w:p>
  </w:footnote>
  <w:footnote w:id="25">
    <w:p w14:paraId="400B6152" w14:textId="77777777" w:rsidR="00F21557" w:rsidRDefault="00F2155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26">
    <w:p w14:paraId="0FA15D2F" w14:textId="77777777" w:rsidR="00F21557" w:rsidRDefault="00F2155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27">
    <w:p w14:paraId="3C80981C" w14:textId="77777777" w:rsidR="00F21557" w:rsidRDefault="00F2155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F21557" w:rsidRDefault="00F21557">
      <w:pPr>
        <w:pStyle w:val="FootnoteText"/>
        <w:ind w:firstLine="720"/>
      </w:pPr>
    </w:p>
  </w:footnote>
  <w:footnote w:id="28">
    <w:p w14:paraId="50CE7D6B" w14:textId="77777777" w:rsidR="00F21557" w:rsidRDefault="00F21557">
      <w:pPr>
        <w:pStyle w:val="FootnoteText"/>
        <w:ind w:firstLine="720"/>
      </w:pPr>
      <w:r>
        <w:rPr>
          <w:rStyle w:val="FootnoteReference"/>
        </w:rPr>
        <w:footnoteRef/>
      </w:r>
      <w:r>
        <w:t xml:space="preserve"> Ibid</w:t>
      </w:r>
    </w:p>
    <w:p w14:paraId="1CAE462B" w14:textId="77777777" w:rsidR="00F21557" w:rsidRDefault="00F21557">
      <w:pPr>
        <w:pStyle w:val="FootnoteText"/>
        <w:ind w:firstLine="720"/>
      </w:pPr>
    </w:p>
  </w:footnote>
  <w:footnote w:id="29">
    <w:p w14:paraId="64C6A05B" w14:textId="77777777" w:rsidR="00F21557" w:rsidRDefault="00F21557">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p120. </w:t>
      </w:r>
    </w:p>
  </w:footnote>
  <w:footnote w:id="30">
    <w:p w14:paraId="3302C0DD" w14:textId="77777777" w:rsidR="00F21557" w:rsidRDefault="00F21557">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F21557" w:rsidRDefault="00F21557">
      <w:pPr>
        <w:pStyle w:val="FootnoteText"/>
      </w:pPr>
    </w:p>
  </w:footnote>
  <w:footnote w:id="31">
    <w:p w14:paraId="225816FB" w14:textId="77777777" w:rsidR="00F21557" w:rsidRDefault="00F21557">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F21557" w:rsidRDefault="00F21557">
      <w:pPr>
        <w:pStyle w:val="FootnoteText"/>
        <w:ind w:firstLine="720"/>
      </w:pPr>
    </w:p>
  </w:footnote>
  <w:footnote w:id="32">
    <w:p w14:paraId="5FEAC196" w14:textId="77777777" w:rsidR="00F21557" w:rsidRDefault="00F21557">
      <w:pPr>
        <w:pStyle w:val="FootnoteText"/>
        <w:ind w:firstLine="720"/>
      </w:pPr>
      <w:r>
        <w:rPr>
          <w:rStyle w:val="FootnoteReference"/>
        </w:rPr>
        <w:footnoteRef/>
      </w:r>
      <w:r>
        <w:t xml:space="preserve"> Ibid</w:t>
      </w:r>
    </w:p>
    <w:p w14:paraId="4C119107" w14:textId="77777777" w:rsidR="00F21557" w:rsidRDefault="00F21557">
      <w:pPr>
        <w:pStyle w:val="FootnoteText"/>
        <w:ind w:firstLine="720"/>
      </w:pPr>
    </w:p>
  </w:footnote>
  <w:footnote w:id="33">
    <w:p w14:paraId="58F584D8" w14:textId="77777777" w:rsidR="00F21557" w:rsidRDefault="00F21557">
      <w:pPr>
        <w:pStyle w:val="FootnoteText"/>
        <w:ind w:firstLine="720"/>
      </w:pPr>
      <w:r>
        <w:rPr>
          <w:rStyle w:val="FootnoteReference"/>
        </w:rPr>
        <w:footnoteRef/>
      </w:r>
      <w:r>
        <w:t xml:space="preserve"> Helene M. </w:t>
      </w:r>
      <w:proofErr w:type="spellStart"/>
      <w:r>
        <w:t>Dallaire</w:t>
      </w:r>
      <w:proofErr w:type="spellEnd"/>
      <w:r>
        <w:t>. </w:t>
      </w:r>
      <w:r>
        <w:rPr>
          <w:i/>
          <w:iCs/>
        </w:rPr>
        <w:t>Biblical Hebrew: A Living Language</w:t>
      </w:r>
      <w:r>
        <w:t>. Columbia, SC: Columbia International University, 2017</w:t>
      </w:r>
    </w:p>
    <w:p w14:paraId="5DF6415C" w14:textId="77777777" w:rsidR="00F21557" w:rsidRDefault="00F21557">
      <w:pPr>
        <w:pStyle w:val="FootnoteText"/>
      </w:pPr>
    </w:p>
  </w:footnote>
  <w:footnote w:id="34">
    <w:p w14:paraId="4B366008" w14:textId="77777777" w:rsidR="00F21557" w:rsidRDefault="00F21557">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F21557" w:rsidRDefault="00F21557">
      <w:pPr>
        <w:pStyle w:val="FootnoteText"/>
      </w:pPr>
    </w:p>
  </w:footnote>
  <w:footnote w:id="35">
    <w:p w14:paraId="567ADA1F" w14:textId="77777777" w:rsidR="00F21557" w:rsidRDefault="00F21557">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F21557" w:rsidRDefault="00F21557">
      <w:pPr>
        <w:pStyle w:val="FootnoteText"/>
      </w:pPr>
    </w:p>
  </w:footnote>
  <w:footnote w:id="36">
    <w:p w14:paraId="47BE7C7D" w14:textId="77777777" w:rsidR="00F21557" w:rsidRDefault="00F21557">
      <w:pPr>
        <w:pStyle w:val="FootnoteText"/>
        <w:ind w:firstLine="720"/>
      </w:pPr>
      <w:r>
        <w:rPr>
          <w:rStyle w:val="FootnoteReference"/>
        </w:rPr>
        <w:footnoteRef/>
      </w:r>
      <w:r>
        <w:t xml:space="preserve"> 1985 John A. Phillips. </w:t>
      </w:r>
      <w:r>
        <w:rPr>
          <w:i/>
          <w:iCs/>
        </w:rPr>
        <w:t xml:space="preserve">Eve and </w:t>
      </w:r>
      <w:proofErr w:type="spellStart"/>
      <w:r>
        <w:rPr>
          <w:i/>
          <w:iCs/>
        </w:rPr>
        <w:t>yhwh</w:t>
      </w:r>
      <w:proofErr w:type="spellEnd"/>
      <w:r>
        <w:rPr>
          <w:i/>
          <w:iCs/>
        </w:rPr>
        <w:t xml:space="preserve"> Eve: The History of an Idea</w:t>
      </w:r>
      <w:r>
        <w:t>. San Francisco, CA: Harper &amp; Row, Sep 1, 1984.</w:t>
      </w:r>
    </w:p>
    <w:p w14:paraId="71BA9FD3" w14:textId="77777777" w:rsidR="00F21557" w:rsidRDefault="00F21557">
      <w:pPr>
        <w:pStyle w:val="FootnoteText"/>
        <w:ind w:firstLine="720"/>
      </w:pPr>
    </w:p>
  </w:footnote>
  <w:footnote w:id="37">
    <w:p w14:paraId="1F924862" w14:textId="77777777" w:rsidR="00F21557" w:rsidRDefault="00F21557">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xml:space="preserve"> Vol. 91, No. 1 (Mar., 1972) pp. 33-37 </w:t>
      </w:r>
    </w:p>
    <w:p w14:paraId="49EF8C47" w14:textId="77777777" w:rsidR="00F21557" w:rsidRDefault="00F21557">
      <w:pPr>
        <w:pStyle w:val="FootnoteText"/>
        <w:ind w:firstLine="720"/>
      </w:pPr>
    </w:p>
  </w:footnote>
  <w:footnote w:id="38">
    <w:p w14:paraId="05E54DDF" w14:textId="77777777" w:rsidR="00F21557" w:rsidRDefault="00F21557">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F21557" w:rsidRDefault="00F21557">
      <w:pPr>
        <w:pStyle w:val="FootnoteText"/>
      </w:pPr>
    </w:p>
  </w:footnote>
  <w:footnote w:id="39">
    <w:p w14:paraId="32C3963C" w14:textId="77777777" w:rsidR="00F21557" w:rsidRDefault="00F21557">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F21557" w:rsidRDefault="00F21557">
      <w:pPr>
        <w:pStyle w:val="FootnoteText"/>
      </w:pPr>
    </w:p>
  </w:footnote>
  <w:footnote w:id="40">
    <w:p w14:paraId="5C3E9506" w14:textId="77777777" w:rsidR="00F21557" w:rsidRDefault="00F21557">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Vol. 91, No. 1 (Mar., 1972) pp. 33-37</w:t>
      </w:r>
    </w:p>
    <w:p w14:paraId="67E7DFAB" w14:textId="77777777" w:rsidR="00F21557" w:rsidRDefault="00F21557">
      <w:pPr>
        <w:pStyle w:val="FootnoteText"/>
        <w:ind w:firstLine="720"/>
      </w:pPr>
    </w:p>
  </w:footnote>
  <w:footnote w:id="41">
    <w:p w14:paraId="457C90D1" w14:textId="77777777" w:rsidR="00F21557" w:rsidRDefault="00F21557">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F21557" w:rsidRDefault="00F21557">
      <w:pPr>
        <w:pStyle w:val="FootnoteText"/>
      </w:pPr>
    </w:p>
  </w:footnote>
  <w:footnote w:id="42">
    <w:p w14:paraId="7D41E50B" w14:textId="77777777" w:rsidR="00F21557" w:rsidRDefault="00F21557">
      <w:pPr>
        <w:pStyle w:val="FootnoteText"/>
        <w:ind w:firstLine="720"/>
      </w:pPr>
      <w:r>
        <w:rPr>
          <w:rStyle w:val="FootnoteReference"/>
        </w:rPr>
        <w:footnoteRef/>
      </w:r>
      <w:r>
        <w:t xml:space="preserve"> Peterson Brian Neil, "Does Genesis 2 Support Same Sex Marriage </w:t>
      </w:r>
      <w:proofErr w:type="gramStart"/>
      <w:r>
        <w:t>An</w:t>
      </w:r>
      <w:proofErr w:type="gramEnd"/>
      <w:r>
        <w:t xml:space="preserve"> Evangelical Response" In: </w:t>
      </w:r>
      <w:r>
        <w:rPr>
          <w:i/>
          <w:iCs/>
        </w:rPr>
        <w:t>Journal of the Evangelical Theological Soc</w:t>
      </w:r>
      <w:r>
        <w:t> Vol. 60 Issue 4 (Dec2017) p681-696</w:t>
      </w:r>
    </w:p>
    <w:p w14:paraId="63FCE223" w14:textId="77777777" w:rsidR="00F21557" w:rsidRDefault="00F21557">
      <w:pPr>
        <w:pStyle w:val="FootnoteText"/>
        <w:ind w:firstLine="720"/>
      </w:pPr>
    </w:p>
  </w:footnote>
  <w:footnote w:id="43">
    <w:p w14:paraId="777C3E64" w14:textId="77777777" w:rsidR="00F21557" w:rsidRDefault="00F21557">
      <w:pPr>
        <w:pStyle w:val="FootnoteText"/>
        <w:ind w:firstLine="720"/>
      </w:pPr>
      <w:r>
        <w:rPr>
          <w:rStyle w:val="FootnoteReference"/>
        </w:rPr>
        <w:footnoteRef/>
      </w:r>
      <w:r>
        <w:t xml:space="preserve"> Nathaniel Schmidt, "</w:t>
      </w:r>
      <w:proofErr w:type="spellStart"/>
      <w:r>
        <w:t>Yahwe</w:t>
      </w:r>
      <w:proofErr w:type="spellEnd"/>
      <w:r>
        <w:t xml:space="preserve"> Elohim" In: </w:t>
      </w:r>
      <w:r>
        <w:rPr>
          <w:i/>
          <w:iCs/>
        </w:rPr>
        <w:t>Journal of Biblical Literature</w:t>
      </w:r>
      <w:r>
        <w:t> Vol. 33, No. 1 (Mar., 1914) pp. 25-47</w:t>
      </w:r>
    </w:p>
    <w:p w14:paraId="74726ED2" w14:textId="77777777" w:rsidR="00F21557" w:rsidRDefault="00F21557">
      <w:pPr>
        <w:pStyle w:val="FootnoteText"/>
      </w:pPr>
    </w:p>
  </w:footnote>
  <w:footnote w:id="44">
    <w:p w14:paraId="65126F17" w14:textId="77777777" w:rsidR="00F21557" w:rsidRDefault="00F21557">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F21557" w:rsidRDefault="00F21557">
      <w:pPr>
        <w:pStyle w:val="FootnoteText"/>
      </w:pPr>
    </w:p>
  </w:footnote>
  <w:footnote w:id="45">
    <w:p w14:paraId="251882CD" w14:textId="77777777" w:rsidR="00F21557" w:rsidRDefault="00F21557">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46">
    <w:p w14:paraId="385EBF93" w14:textId="77777777" w:rsidR="00F21557" w:rsidRDefault="00F21557">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p119-129</w:t>
      </w:r>
    </w:p>
    <w:p w14:paraId="25E840B9" w14:textId="77777777" w:rsidR="00F21557" w:rsidRDefault="00F21557">
      <w:pPr>
        <w:pStyle w:val="FootnoteText"/>
      </w:pPr>
    </w:p>
  </w:footnote>
  <w:footnote w:id="47">
    <w:p w14:paraId="5A07B646" w14:textId="77777777" w:rsidR="00F21557" w:rsidRDefault="00F21557">
      <w:pPr>
        <w:pStyle w:val="FootnoteText"/>
        <w:ind w:firstLine="720"/>
      </w:pPr>
      <w:r>
        <w:rPr>
          <w:rStyle w:val="FootnoteReference"/>
        </w:rPr>
        <w:footnoteRef/>
      </w:r>
      <w:r>
        <w:t xml:space="preserve"> Herbert Lockyer. </w:t>
      </w:r>
      <w:r>
        <w:rPr>
          <w:i/>
          <w:iCs/>
        </w:rPr>
        <w:t>All the Men of the Bible</w:t>
      </w:r>
      <w:r>
        <w:t>. Grand Rapids, MI: Zondervan,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034774"/>
    <w:rsid w:val="00113081"/>
    <w:rsid w:val="00171219"/>
    <w:rsid w:val="002B687A"/>
    <w:rsid w:val="00377041"/>
    <w:rsid w:val="003E2522"/>
    <w:rsid w:val="004073D8"/>
    <w:rsid w:val="00632BAD"/>
    <w:rsid w:val="007651E1"/>
    <w:rsid w:val="009438D8"/>
    <w:rsid w:val="00CF51E4"/>
    <w:rsid w:val="00D074B2"/>
    <w:rsid w:val="00D53DE5"/>
    <w:rsid w:val="00F21557"/>
    <w:rsid w:val="00F9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3894D1EF-72BD-754C-BE16-3FD776C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70560">
      <w:bodyDiv w:val="1"/>
      <w:marLeft w:val="0"/>
      <w:marRight w:val="0"/>
      <w:marTop w:val="0"/>
      <w:marBottom w:val="0"/>
      <w:divBdr>
        <w:top w:val="none" w:sz="0" w:space="0" w:color="auto"/>
        <w:left w:val="none" w:sz="0" w:space="0" w:color="auto"/>
        <w:bottom w:val="none" w:sz="0" w:space="0" w:color="auto"/>
        <w:right w:val="none" w:sz="0" w:space="0" w:color="auto"/>
      </w:divBdr>
      <w:divsChild>
        <w:div w:id="804783834">
          <w:marLeft w:val="0"/>
          <w:marRight w:val="0"/>
          <w:marTop w:val="0"/>
          <w:marBottom w:val="0"/>
          <w:divBdr>
            <w:top w:val="none" w:sz="0" w:space="0" w:color="auto"/>
            <w:left w:val="none" w:sz="0" w:space="0" w:color="auto"/>
            <w:bottom w:val="none" w:sz="0" w:space="0" w:color="auto"/>
            <w:right w:val="none" w:sz="0" w:space="0" w:color="auto"/>
          </w:divBdr>
          <w:divsChild>
            <w:div w:id="1995530340">
              <w:marLeft w:val="0"/>
              <w:marRight w:val="0"/>
              <w:marTop w:val="0"/>
              <w:marBottom w:val="0"/>
              <w:divBdr>
                <w:top w:val="none" w:sz="0" w:space="0" w:color="auto"/>
                <w:left w:val="none" w:sz="0" w:space="0" w:color="auto"/>
                <w:bottom w:val="none" w:sz="0" w:space="0" w:color="auto"/>
                <w:right w:val="none" w:sz="0" w:space="0" w:color="auto"/>
              </w:divBdr>
              <w:divsChild>
                <w:div w:id="1954939961">
                  <w:marLeft w:val="0"/>
                  <w:marRight w:val="0"/>
                  <w:marTop w:val="0"/>
                  <w:marBottom w:val="0"/>
                  <w:divBdr>
                    <w:top w:val="none" w:sz="0" w:space="0" w:color="auto"/>
                    <w:left w:val="none" w:sz="0" w:space="0" w:color="auto"/>
                    <w:bottom w:val="none" w:sz="0" w:space="0" w:color="auto"/>
                    <w:right w:val="none" w:sz="0" w:space="0" w:color="auto"/>
                  </w:divBdr>
                </w:div>
              </w:divsChild>
            </w:div>
            <w:div w:id="1344012920">
              <w:marLeft w:val="0"/>
              <w:marRight w:val="0"/>
              <w:marTop w:val="0"/>
              <w:marBottom w:val="0"/>
              <w:divBdr>
                <w:top w:val="none" w:sz="0" w:space="0" w:color="auto"/>
                <w:left w:val="none" w:sz="0" w:space="0" w:color="auto"/>
                <w:bottom w:val="none" w:sz="0" w:space="0" w:color="auto"/>
                <w:right w:val="none" w:sz="0" w:space="0" w:color="auto"/>
              </w:divBdr>
              <w:divsChild>
                <w:div w:id="18993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6779">
          <w:marLeft w:val="0"/>
          <w:marRight w:val="0"/>
          <w:marTop w:val="0"/>
          <w:marBottom w:val="0"/>
          <w:divBdr>
            <w:top w:val="none" w:sz="0" w:space="0" w:color="auto"/>
            <w:left w:val="none" w:sz="0" w:space="0" w:color="auto"/>
            <w:bottom w:val="none" w:sz="0" w:space="0" w:color="auto"/>
            <w:right w:val="none" w:sz="0" w:space="0" w:color="auto"/>
          </w:divBdr>
          <w:divsChild>
            <w:div w:id="1207066727">
              <w:marLeft w:val="0"/>
              <w:marRight w:val="0"/>
              <w:marTop w:val="0"/>
              <w:marBottom w:val="0"/>
              <w:divBdr>
                <w:top w:val="none" w:sz="0" w:space="0" w:color="auto"/>
                <w:left w:val="none" w:sz="0" w:space="0" w:color="auto"/>
                <w:bottom w:val="none" w:sz="0" w:space="0" w:color="auto"/>
                <w:right w:val="none" w:sz="0" w:space="0" w:color="auto"/>
              </w:divBdr>
              <w:divsChild>
                <w:div w:id="1684698516">
                  <w:marLeft w:val="0"/>
                  <w:marRight w:val="0"/>
                  <w:marTop w:val="0"/>
                  <w:marBottom w:val="0"/>
                  <w:divBdr>
                    <w:top w:val="none" w:sz="0" w:space="0" w:color="auto"/>
                    <w:left w:val="none" w:sz="0" w:space="0" w:color="auto"/>
                    <w:bottom w:val="none" w:sz="0" w:space="0" w:color="auto"/>
                    <w:right w:val="none" w:sz="0" w:space="0" w:color="auto"/>
                  </w:divBdr>
                </w:div>
              </w:divsChild>
            </w:div>
            <w:div w:id="852187163">
              <w:marLeft w:val="0"/>
              <w:marRight w:val="0"/>
              <w:marTop w:val="0"/>
              <w:marBottom w:val="0"/>
              <w:divBdr>
                <w:top w:val="none" w:sz="0" w:space="0" w:color="auto"/>
                <w:left w:val="none" w:sz="0" w:space="0" w:color="auto"/>
                <w:bottom w:val="none" w:sz="0" w:space="0" w:color="auto"/>
                <w:right w:val="none" w:sz="0" w:space="0" w:color="auto"/>
              </w:divBdr>
              <w:divsChild>
                <w:div w:id="4569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89964">
      <w:marLeft w:val="0"/>
      <w:marRight w:val="0"/>
      <w:marTop w:val="0"/>
      <w:marBottom w:val="0"/>
      <w:divBdr>
        <w:top w:val="none" w:sz="0" w:space="0" w:color="auto"/>
        <w:left w:val="none" w:sz="0" w:space="0" w:color="auto"/>
        <w:bottom w:val="none" w:sz="0" w:space="0" w:color="auto"/>
        <w:right w:val="none" w:sz="0" w:space="0" w:color="auto"/>
      </w:divBdr>
      <w:divsChild>
        <w:div w:id="1497305712">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58676588">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sChild>
    </w:div>
    <w:div w:id="1076321772">
      <w:bodyDiv w:val="1"/>
      <w:marLeft w:val="0"/>
      <w:marRight w:val="0"/>
      <w:marTop w:val="0"/>
      <w:marBottom w:val="0"/>
      <w:divBdr>
        <w:top w:val="none" w:sz="0" w:space="0" w:color="auto"/>
        <w:left w:val="none" w:sz="0" w:space="0" w:color="auto"/>
        <w:bottom w:val="none" w:sz="0" w:space="0" w:color="auto"/>
        <w:right w:val="none" w:sz="0" w:space="0" w:color="auto"/>
      </w:divBdr>
      <w:divsChild>
        <w:div w:id="466975266">
          <w:marLeft w:val="0"/>
          <w:marRight w:val="0"/>
          <w:marTop w:val="0"/>
          <w:marBottom w:val="0"/>
          <w:divBdr>
            <w:top w:val="none" w:sz="0" w:space="0" w:color="auto"/>
            <w:left w:val="none" w:sz="0" w:space="0" w:color="auto"/>
            <w:bottom w:val="none" w:sz="0" w:space="0" w:color="auto"/>
            <w:right w:val="none" w:sz="0" w:space="0" w:color="auto"/>
          </w:divBdr>
          <w:divsChild>
            <w:div w:id="2085057253">
              <w:marLeft w:val="0"/>
              <w:marRight w:val="0"/>
              <w:marTop w:val="0"/>
              <w:marBottom w:val="0"/>
              <w:divBdr>
                <w:top w:val="none" w:sz="0" w:space="0" w:color="auto"/>
                <w:left w:val="none" w:sz="0" w:space="0" w:color="auto"/>
                <w:bottom w:val="none" w:sz="0" w:space="0" w:color="auto"/>
                <w:right w:val="none" w:sz="0" w:space="0" w:color="auto"/>
              </w:divBdr>
              <w:divsChild>
                <w:div w:id="941033929">
                  <w:marLeft w:val="0"/>
                  <w:marRight w:val="0"/>
                  <w:marTop w:val="0"/>
                  <w:marBottom w:val="0"/>
                  <w:divBdr>
                    <w:top w:val="none" w:sz="0" w:space="0" w:color="auto"/>
                    <w:left w:val="none" w:sz="0" w:space="0" w:color="auto"/>
                    <w:bottom w:val="none" w:sz="0" w:space="0" w:color="auto"/>
                    <w:right w:val="none" w:sz="0" w:space="0" w:color="auto"/>
                  </w:divBdr>
                </w:div>
              </w:divsChild>
            </w:div>
            <w:div w:id="789395761">
              <w:marLeft w:val="0"/>
              <w:marRight w:val="0"/>
              <w:marTop w:val="0"/>
              <w:marBottom w:val="0"/>
              <w:divBdr>
                <w:top w:val="none" w:sz="0" w:space="0" w:color="auto"/>
                <w:left w:val="none" w:sz="0" w:space="0" w:color="auto"/>
                <w:bottom w:val="none" w:sz="0" w:space="0" w:color="auto"/>
                <w:right w:val="none" w:sz="0" w:space="0" w:color="auto"/>
              </w:divBdr>
              <w:divsChild>
                <w:div w:id="14614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75310">
          <w:marLeft w:val="0"/>
          <w:marRight w:val="0"/>
          <w:marTop w:val="0"/>
          <w:marBottom w:val="0"/>
          <w:divBdr>
            <w:top w:val="none" w:sz="0" w:space="0" w:color="auto"/>
            <w:left w:val="none" w:sz="0" w:space="0" w:color="auto"/>
            <w:bottom w:val="none" w:sz="0" w:space="0" w:color="auto"/>
            <w:right w:val="none" w:sz="0" w:space="0" w:color="auto"/>
          </w:divBdr>
          <w:divsChild>
            <w:div w:id="743768157">
              <w:marLeft w:val="0"/>
              <w:marRight w:val="0"/>
              <w:marTop w:val="0"/>
              <w:marBottom w:val="0"/>
              <w:divBdr>
                <w:top w:val="none" w:sz="0" w:space="0" w:color="auto"/>
                <w:left w:val="none" w:sz="0" w:space="0" w:color="auto"/>
                <w:bottom w:val="none" w:sz="0" w:space="0" w:color="auto"/>
                <w:right w:val="none" w:sz="0" w:space="0" w:color="auto"/>
              </w:divBdr>
              <w:divsChild>
                <w:div w:id="395713142">
                  <w:marLeft w:val="0"/>
                  <w:marRight w:val="0"/>
                  <w:marTop w:val="0"/>
                  <w:marBottom w:val="0"/>
                  <w:divBdr>
                    <w:top w:val="none" w:sz="0" w:space="0" w:color="auto"/>
                    <w:left w:val="none" w:sz="0" w:space="0" w:color="auto"/>
                    <w:bottom w:val="none" w:sz="0" w:space="0" w:color="auto"/>
                    <w:right w:val="none" w:sz="0" w:space="0" w:color="auto"/>
                  </w:divBdr>
                </w:div>
              </w:divsChild>
            </w:div>
            <w:div w:id="619536410">
              <w:marLeft w:val="0"/>
              <w:marRight w:val="0"/>
              <w:marTop w:val="0"/>
              <w:marBottom w:val="0"/>
              <w:divBdr>
                <w:top w:val="none" w:sz="0" w:space="0" w:color="auto"/>
                <w:left w:val="none" w:sz="0" w:space="0" w:color="auto"/>
                <w:bottom w:val="none" w:sz="0" w:space="0" w:color="auto"/>
                <w:right w:val="none" w:sz="0" w:space="0" w:color="auto"/>
              </w:divBdr>
              <w:divsChild>
                <w:div w:id="19817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144266">
      <w:bodyDiv w:val="1"/>
      <w:marLeft w:val="0"/>
      <w:marRight w:val="0"/>
      <w:marTop w:val="0"/>
      <w:marBottom w:val="0"/>
      <w:divBdr>
        <w:top w:val="none" w:sz="0" w:space="0" w:color="auto"/>
        <w:left w:val="none" w:sz="0" w:space="0" w:color="auto"/>
        <w:bottom w:val="none" w:sz="0" w:space="0" w:color="auto"/>
        <w:right w:val="none" w:sz="0" w:space="0" w:color="auto"/>
      </w:divBdr>
      <w:divsChild>
        <w:div w:id="1050034575">
          <w:marLeft w:val="0"/>
          <w:marRight w:val="0"/>
          <w:marTop w:val="0"/>
          <w:marBottom w:val="0"/>
          <w:divBdr>
            <w:top w:val="none" w:sz="0" w:space="0" w:color="auto"/>
            <w:left w:val="none" w:sz="0" w:space="0" w:color="auto"/>
            <w:bottom w:val="none" w:sz="0" w:space="0" w:color="auto"/>
            <w:right w:val="none" w:sz="0" w:space="0" w:color="auto"/>
          </w:divBdr>
          <w:divsChild>
            <w:div w:id="2097242101">
              <w:marLeft w:val="0"/>
              <w:marRight w:val="0"/>
              <w:marTop w:val="0"/>
              <w:marBottom w:val="0"/>
              <w:divBdr>
                <w:top w:val="none" w:sz="0" w:space="0" w:color="auto"/>
                <w:left w:val="none" w:sz="0" w:space="0" w:color="auto"/>
                <w:bottom w:val="none" w:sz="0" w:space="0" w:color="auto"/>
                <w:right w:val="none" w:sz="0" w:space="0" w:color="auto"/>
              </w:divBdr>
              <w:divsChild>
                <w:div w:id="849412162">
                  <w:marLeft w:val="0"/>
                  <w:marRight w:val="0"/>
                  <w:marTop w:val="0"/>
                  <w:marBottom w:val="0"/>
                  <w:divBdr>
                    <w:top w:val="none" w:sz="0" w:space="0" w:color="auto"/>
                    <w:left w:val="none" w:sz="0" w:space="0" w:color="auto"/>
                    <w:bottom w:val="none" w:sz="0" w:space="0" w:color="auto"/>
                    <w:right w:val="none" w:sz="0" w:space="0" w:color="auto"/>
                  </w:divBdr>
                </w:div>
              </w:divsChild>
            </w:div>
            <w:div w:id="28722583">
              <w:marLeft w:val="0"/>
              <w:marRight w:val="0"/>
              <w:marTop w:val="0"/>
              <w:marBottom w:val="0"/>
              <w:divBdr>
                <w:top w:val="none" w:sz="0" w:space="0" w:color="auto"/>
                <w:left w:val="none" w:sz="0" w:space="0" w:color="auto"/>
                <w:bottom w:val="none" w:sz="0" w:space="0" w:color="auto"/>
                <w:right w:val="none" w:sz="0" w:space="0" w:color="auto"/>
              </w:divBdr>
              <w:divsChild>
                <w:div w:id="16808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8059">
          <w:marLeft w:val="0"/>
          <w:marRight w:val="0"/>
          <w:marTop w:val="0"/>
          <w:marBottom w:val="0"/>
          <w:divBdr>
            <w:top w:val="none" w:sz="0" w:space="0" w:color="auto"/>
            <w:left w:val="none" w:sz="0" w:space="0" w:color="auto"/>
            <w:bottom w:val="none" w:sz="0" w:space="0" w:color="auto"/>
            <w:right w:val="none" w:sz="0" w:space="0" w:color="auto"/>
          </w:divBdr>
          <w:divsChild>
            <w:div w:id="290601632">
              <w:marLeft w:val="0"/>
              <w:marRight w:val="0"/>
              <w:marTop w:val="0"/>
              <w:marBottom w:val="0"/>
              <w:divBdr>
                <w:top w:val="none" w:sz="0" w:space="0" w:color="auto"/>
                <w:left w:val="none" w:sz="0" w:space="0" w:color="auto"/>
                <w:bottom w:val="none" w:sz="0" w:space="0" w:color="auto"/>
                <w:right w:val="none" w:sz="0" w:space="0" w:color="auto"/>
              </w:divBdr>
              <w:divsChild>
                <w:div w:id="470951575">
                  <w:marLeft w:val="0"/>
                  <w:marRight w:val="0"/>
                  <w:marTop w:val="0"/>
                  <w:marBottom w:val="0"/>
                  <w:divBdr>
                    <w:top w:val="none" w:sz="0" w:space="0" w:color="auto"/>
                    <w:left w:val="none" w:sz="0" w:space="0" w:color="auto"/>
                    <w:bottom w:val="none" w:sz="0" w:space="0" w:color="auto"/>
                    <w:right w:val="none" w:sz="0" w:space="0" w:color="auto"/>
                  </w:divBdr>
                </w:div>
              </w:divsChild>
            </w:div>
            <w:div w:id="1248199157">
              <w:marLeft w:val="0"/>
              <w:marRight w:val="0"/>
              <w:marTop w:val="0"/>
              <w:marBottom w:val="0"/>
              <w:divBdr>
                <w:top w:val="none" w:sz="0" w:space="0" w:color="auto"/>
                <w:left w:val="none" w:sz="0" w:space="0" w:color="auto"/>
                <w:bottom w:val="none" w:sz="0" w:space="0" w:color="auto"/>
                <w:right w:val="none" w:sz="0" w:space="0" w:color="auto"/>
              </w:divBdr>
              <w:divsChild>
                <w:div w:id="11432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1692">
      <w:bodyDiv w:val="1"/>
      <w:marLeft w:val="0"/>
      <w:marRight w:val="0"/>
      <w:marTop w:val="0"/>
      <w:marBottom w:val="0"/>
      <w:divBdr>
        <w:top w:val="none" w:sz="0" w:space="0" w:color="auto"/>
        <w:left w:val="none" w:sz="0" w:space="0" w:color="auto"/>
        <w:bottom w:val="none" w:sz="0" w:space="0" w:color="auto"/>
        <w:right w:val="none" w:sz="0" w:space="0" w:color="auto"/>
      </w:divBdr>
      <w:divsChild>
        <w:div w:id="1675717513">
          <w:marLeft w:val="0"/>
          <w:marRight w:val="0"/>
          <w:marTop w:val="0"/>
          <w:marBottom w:val="0"/>
          <w:divBdr>
            <w:top w:val="none" w:sz="0" w:space="0" w:color="auto"/>
            <w:left w:val="none" w:sz="0" w:space="0" w:color="auto"/>
            <w:bottom w:val="none" w:sz="0" w:space="0" w:color="auto"/>
            <w:right w:val="none" w:sz="0" w:space="0" w:color="auto"/>
          </w:divBdr>
          <w:divsChild>
            <w:div w:id="904683250">
              <w:marLeft w:val="0"/>
              <w:marRight w:val="0"/>
              <w:marTop w:val="0"/>
              <w:marBottom w:val="0"/>
              <w:divBdr>
                <w:top w:val="none" w:sz="0" w:space="0" w:color="auto"/>
                <w:left w:val="none" w:sz="0" w:space="0" w:color="auto"/>
                <w:bottom w:val="none" w:sz="0" w:space="0" w:color="auto"/>
                <w:right w:val="none" w:sz="0" w:space="0" w:color="auto"/>
              </w:divBdr>
              <w:divsChild>
                <w:div w:id="1392000850">
                  <w:marLeft w:val="0"/>
                  <w:marRight w:val="0"/>
                  <w:marTop w:val="0"/>
                  <w:marBottom w:val="0"/>
                  <w:divBdr>
                    <w:top w:val="none" w:sz="0" w:space="0" w:color="auto"/>
                    <w:left w:val="none" w:sz="0" w:space="0" w:color="auto"/>
                    <w:bottom w:val="none" w:sz="0" w:space="0" w:color="auto"/>
                    <w:right w:val="none" w:sz="0" w:space="0" w:color="auto"/>
                  </w:divBdr>
                </w:div>
              </w:divsChild>
            </w:div>
            <w:div w:id="1739475265">
              <w:marLeft w:val="0"/>
              <w:marRight w:val="0"/>
              <w:marTop w:val="0"/>
              <w:marBottom w:val="0"/>
              <w:divBdr>
                <w:top w:val="none" w:sz="0" w:space="0" w:color="auto"/>
                <w:left w:val="none" w:sz="0" w:space="0" w:color="auto"/>
                <w:bottom w:val="none" w:sz="0" w:space="0" w:color="auto"/>
                <w:right w:val="none" w:sz="0" w:space="0" w:color="auto"/>
              </w:divBdr>
              <w:divsChild>
                <w:div w:id="553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6371">
          <w:marLeft w:val="0"/>
          <w:marRight w:val="0"/>
          <w:marTop w:val="0"/>
          <w:marBottom w:val="0"/>
          <w:divBdr>
            <w:top w:val="none" w:sz="0" w:space="0" w:color="auto"/>
            <w:left w:val="none" w:sz="0" w:space="0" w:color="auto"/>
            <w:bottom w:val="none" w:sz="0" w:space="0" w:color="auto"/>
            <w:right w:val="none" w:sz="0" w:space="0" w:color="auto"/>
          </w:divBdr>
          <w:divsChild>
            <w:div w:id="1591625091">
              <w:marLeft w:val="0"/>
              <w:marRight w:val="0"/>
              <w:marTop w:val="0"/>
              <w:marBottom w:val="0"/>
              <w:divBdr>
                <w:top w:val="none" w:sz="0" w:space="0" w:color="auto"/>
                <w:left w:val="none" w:sz="0" w:space="0" w:color="auto"/>
                <w:bottom w:val="none" w:sz="0" w:space="0" w:color="auto"/>
                <w:right w:val="none" w:sz="0" w:space="0" w:color="auto"/>
              </w:divBdr>
              <w:divsChild>
                <w:div w:id="214656877">
                  <w:marLeft w:val="0"/>
                  <w:marRight w:val="0"/>
                  <w:marTop w:val="0"/>
                  <w:marBottom w:val="0"/>
                  <w:divBdr>
                    <w:top w:val="none" w:sz="0" w:space="0" w:color="auto"/>
                    <w:left w:val="none" w:sz="0" w:space="0" w:color="auto"/>
                    <w:bottom w:val="none" w:sz="0" w:space="0" w:color="auto"/>
                    <w:right w:val="none" w:sz="0" w:space="0" w:color="auto"/>
                  </w:divBdr>
                </w:div>
              </w:divsChild>
            </w:div>
            <w:div w:id="204635020">
              <w:marLeft w:val="0"/>
              <w:marRight w:val="0"/>
              <w:marTop w:val="0"/>
              <w:marBottom w:val="0"/>
              <w:divBdr>
                <w:top w:val="none" w:sz="0" w:space="0" w:color="auto"/>
                <w:left w:val="none" w:sz="0" w:space="0" w:color="auto"/>
                <w:bottom w:val="none" w:sz="0" w:space="0" w:color="auto"/>
                <w:right w:val="none" w:sz="0" w:space="0" w:color="auto"/>
              </w:divBdr>
              <w:divsChild>
                <w:div w:id="15915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6096">
      <w:bodyDiv w:val="1"/>
      <w:marLeft w:val="0"/>
      <w:marRight w:val="0"/>
      <w:marTop w:val="0"/>
      <w:marBottom w:val="0"/>
      <w:divBdr>
        <w:top w:val="none" w:sz="0" w:space="0" w:color="auto"/>
        <w:left w:val="none" w:sz="0" w:space="0" w:color="auto"/>
        <w:bottom w:val="none" w:sz="0" w:space="0" w:color="auto"/>
        <w:right w:val="none" w:sz="0" w:space="0" w:color="auto"/>
      </w:divBdr>
      <w:divsChild>
        <w:div w:id="1281303974">
          <w:marLeft w:val="0"/>
          <w:marRight w:val="0"/>
          <w:marTop w:val="0"/>
          <w:marBottom w:val="0"/>
          <w:divBdr>
            <w:top w:val="none" w:sz="0" w:space="0" w:color="auto"/>
            <w:left w:val="none" w:sz="0" w:space="0" w:color="auto"/>
            <w:bottom w:val="none" w:sz="0" w:space="0" w:color="auto"/>
            <w:right w:val="none" w:sz="0" w:space="0" w:color="auto"/>
          </w:divBdr>
          <w:divsChild>
            <w:div w:id="148328315">
              <w:marLeft w:val="0"/>
              <w:marRight w:val="0"/>
              <w:marTop w:val="0"/>
              <w:marBottom w:val="0"/>
              <w:divBdr>
                <w:top w:val="none" w:sz="0" w:space="0" w:color="auto"/>
                <w:left w:val="none" w:sz="0" w:space="0" w:color="auto"/>
                <w:bottom w:val="none" w:sz="0" w:space="0" w:color="auto"/>
                <w:right w:val="none" w:sz="0" w:space="0" w:color="auto"/>
              </w:divBdr>
              <w:divsChild>
                <w:div w:id="2775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2642">
      <w:bodyDiv w:val="1"/>
      <w:marLeft w:val="0"/>
      <w:marRight w:val="0"/>
      <w:marTop w:val="0"/>
      <w:marBottom w:val="0"/>
      <w:divBdr>
        <w:top w:val="none" w:sz="0" w:space="0" w:color="auto"/>
        <w:left w:val="none" w:sz="0" w:space="0" w:color="auto"/>
        <w:bottom w:val="none" w:sz="0" w:space="0" w:color="auto"/>
        <w:right w:val="none" w:sz="0" w:space="0" w:color="auto"/>
      </w:divBdr>
    </w:div>
    <w:div w:id="1593002097">
      <w:bodyDiv w:val="1"/>
      <w:marLeft w:val="0"/>
      <w:marRight w:val="0"/>
      <w:marTop w:val="0"/>
      <w:marBottom w:val="0"/>
      <w:divBdr>
        <w:top w:val="none" w:sz="0" w:space="0" w:color="auto"/>
        <w:left w:val="none" w:sz="0" w:space="0" w:color="auto"/>
        <w:bottom w:val="none" w:sz="0" w:space="0" w:color="auto"/>
        <w:right w:val="none" w:sz="0" w:space="0" w:color="auto"/>
      </w:divBdr>
      <w:divsChild>
        <w:div w:id="1735809839">
          <w:marLeft w:val="0"/>
          <w:marRight w:val="0"/>
          <w:marTop w:val="0"/>
          <w:marBottom w:val="0"/>
          <w:divBdr>
            <w:top w:val="none" w:sz="0" w:space="0" w:color="auto"/>
            <w:left w:val="none" w:sz="0" w:space="0" w:color="auto"/>
            <w:bottom w:val="none" w:sz="0" w:space="0" w:color="auto"/>
            <w:right w:val="none" w:sz="0" w:space="0" w:color="auto"/>
          </w:divBdr>
          <w:divsChild>
            <w:div w:id="510874875">
              <w:marLeft w:val="0"/>
              <w:marRight w:val="0"/>
              <w:marTop w:val="0"/>
              <w:marBottom w:val="0"/>
              <w:divBdr>
                <w:top w:val="none" w:sz="0" w:space="0" w:color="auto"/>
                <w:left w:val="none" w:sz="0" w:space="0" w:color="auto"/>
                <w:bottom w:val="none" w:sz="0" w:space="0" w:color="auto"/>
                <w:right w:val="none" w:sz="0" w:space="0" w:color="auto"/>
              </w:divBdr>
              <w:divsChild>
                <w:div w:id="710807093">
                  <w:marLeft w:val="0"/>
                  <w:marRight w:val="0"/>
                  <w:marTop w:val="0"/>
                  <w:marBottom w:val="0"/>
                  <w:divBdr>
                    <w:top w:val="none" w:sz="0" w:space="0" w:color="auto"/>
                    <w:left w:val="none" w:sz="0" w:space="0" w:color="auto"/>
                    <w:bottom w:val="none" w:sz="0" w:space="0" w:color="auto"/>
                    <w:right w:val="none" w:sz="0" w:space="0" w:color="auto"/>
                  </w:divBdr>
                </w:div>
              </w:divsChild>
            </w:div>
            <w:div w:id="1765609943">
              <w:marLeft w:val="0"/>
              <w:marRight w:val="0"/>
              <w:marTop w:val="0"/>
              <w:marBottom w:val="0"/>
              <w:divBdr>
                <w:top w:val="none" w:sz="0" w:space="0" w:color="auto"/>
                <w:left w:val="none" w:sz="0" w:space="0" w:color="auto"/>
                <w:bottom w:val="none" w:sz="0" w:space="0" w:color="auto"/>
                <w:right w:val="none" w:sz="0" w:space="0" w:color="auto"/>
              </w:divBdr>
              <w:divsChild>
                <w:div w:id="13860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5666">
          <w:marLeft w:val="0"/>
          <w:marRight w:val="0"/>
          <w:marTop w:val="0"/>
          <w:marBottom w:val="0"/>
          <w:divBdr>
            <w:top w:val="none" w:sz="0" w:space="0" w:color="auto"/>
            <w:left w:val="none" w:sz="0" w:space="0" w:color="auto"/>
            <w:bottom w:val="none" w:sz="0" w:space="0" w:color="auto"/>
            <w:right w:val="none" w:sz="0" w:space="0" w:color="auto"/>
          </w:divBdr>
          <w:divsChild>
            <w:div w:id="1751544171">
              <w:marLeft w:val="0"/>
              <w:marRight w:val="0"/>
              <w:marTop w:val="0"/>
              <w:marBottom w:val="0"/>
              <w:divBdr>
                <w:top w:val="none" w:sz="0" w:space="0" w:color="auto"/>
                <w:left w:val="none" w:sz="0" w:space="0" w:color="auto"/>
                <w:bottom w:val="none" w:sz="0" w:space="0" w:color="auto"/>
                <w:right w:val="none" w:sz="0" w:space="0" w:color="auto"/>
              </w:divBdr>
              <w:divsChild>
                <w:div w:id="1138113639">
                  <w:marLeft w:val="0"/>
                  <w:marRight w:val="0"/>
                  <w:marTop w:val="0"/>
                  <w:marBottom w:val="0"/>
                  <w:divBdr>
                    <w:top w:val="none" w:sz="0" w:space="0" w:color="auto"/>
                    <w:left w:val="none" w:sz="0" w:space="0" w:color="auto"/>
                    <w:bottom w:val="none" w:sz="0" w:space="0" w:color="auto"/>
                    <w:right w:val="none" w:sz="0" w:space="0" w:color="auto"/>
                  </w:divBdr>
                </w:div>
              </w:divsChild>
            </w:div>
            <w:div w:id="634987003">
              <w:marLeft w:val="0"/>
              <w:marRight w:val="0"/>
              <w:marTop w:val="0"/>
              <w:marBottom w:val="0"/>
              <w:divBdr>
                <w:top w:val="none" w:sz="0" w:space="0" w:color="auto"/>
                <w:left w:val="none" w:sz="0" w:space="0" w:color="auto"/>
                <w:bottom w:val="none" w:sz="0" w:space="0" w:color="auto"/>
                <w:right w:val="none" w:sz="0" w:space="0" w:color="auto"/>
              </w:divBdr>
              <w:divsChild>
                <w:div w:id="10948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533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commentaries/genesis/2-24.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66</Pages>
  <Words>15380</Words>
  <Characters>87666</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2</cp:revision>
  <cp:lastPrinted>2021-05-01T02:45:00Z</cp:lastPrinted>
  <dcterms:created xsi:type="dcterms:W3CDTF">2021-05-10T12:56:00Z</dcterms:created>
  <dcterms:modified xsi:type="dcterms:W3CDTF">2021-05-10T12:56:00Z</dcterms:modified>
</cp:coreProperties>
</file>