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77777777" w:rsidR="00F21557" w:rsidRDefault="00F21557">
      <w:pPr>
        <w:jc w:val="center"/>
        <w:rPr>
          <w:color w:val="222222"/>
        </w:rP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77777777" w:rsidR="00F21557" w:rsidRDefault="00F21557">
      <w:pPr>
        <w:jc w:val="center"/>
        <w:rPr>
          <w:color w:val="222222"/>
        </w:rPr>
      </w:pPr>
      <w:r>
        <w:rPr>
          <w:color w:val="222222"/>
        </w:rPr>
        <w:t>Student: Wei Ding</w:t>
      </w:r>
    </w:p>
    <w:p w14:paraId="36E816F4" w14:textId="77777777" w:rsidR="00F21557" w:rsidRDefault="00F21557">
      <w:pPr>
        <w:jc w:val="center"/>
        <w:rPr>
          <w:color w:val="222222"/>
        </w:rPr>
      </w:pPr>
    </w:p>
    <w:p w14:paraId="00C5687C" w14:textId="77777777" w:rsidR="00F21557" w:rsidRDefault="00F21557">
      <w:pPr>
        <w:jc w:val="center"/>
        <w:rPr>
          <w:color w:val="222222"/>
        </w:rPr>
      </w:pPr>
      <w:r>
        <w:rPr>
          <w:color w:val="222222"/>
        </w:rPr>
        <w:t>RES7961</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77777777" w:rsidR="00F21557" w:rsidRDefault="00F21557">
      <w:pPr>
        <w:spacing w:line="480" w:lineRule="auto"/>
      </w:pPr>
      <w:r>
        <w:tab/>
        <w:t>This study aims to re-examine if Genesis 2:24 belongs to Adam’s speech from a perspective of etymology and etiology.</w:t>
      </w:r>
    </w:p>
    <w:p w14:paraId="1EA34958" w14:textId="77777777" w:rsidR="00F21557" w:rsidRDefault="00F21557">
      <w:pPr>
        <w:spacing w:line="480" w:lineRule="auto"/>
      </w:pPr>
      <w:r>
        <w:rPr>
          <w:b/>
          <w:bCs/>
        </w:rPr>
        <w:tab/>
      </w:r>
      <w:r>
        <w:t xml:space="preserve">Primarily within the biblical account of Genesis 1-5, the paper explores the familial vocabulary etymology,  the biblical meaning of male and female, the origin of human family, the origin of human speech, the origin of the covenant, and the origin of father and mother. The paper finds that the original meaning of ‘father’ and ‘mother’ is entirely different from the sense in modern culture. They are polyonymous names used to infer to the 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77777777" w:rsidR="00F21557" w:rsidRDefault="00F21557">
      <w:pPr>
        <w:spacing w:line="480" w:lineRule="auto"/>
        <w:rPr>
          <w:rFonts w:eastAsiaTheme="majorEastAsia"/>
          <w:b/>
          <w:bCs/>
          <w:color w:val="000000"/>
          <w:sz w:val="32"/>
          <w:szCs w:val="32"/>
        </w:rPr>
      </w:pPr>
      <w:r>
        <w:tab/>
        <w:t>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31318C95" w:rsidR="00F21557" w:rsidRDefault="00F21557">
      <w:pPr>
        <w:spacing w:line="480" w:lineRule="auto"/>
      </w:pPr>
      <w:r>
        <w:lastRenderedPageBreak/>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the biblical context into local cultural context.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syncretism</w:t>
      </w:r>
      <w:r w:rsidR="00171219" w:rsidRPr="00171219">
        <w:t xml:space="preserve">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It should be shameful that t</w:t>
      </w:r>
      <w:r w:rsidR="00113081">
        <w:t xml:space="preserve">he Pharisees </w:t>
      </w:r>
      <w:r w:rsidR="00113081">
        <w:t xml:space="preserve">merely argue over the </w:t>
      </w:r>
      <w:r w:rsidR="00113081">
        <w:t>divorce</w:t>
      </w:r>
      <w:r w:rsidR="00113081">
        <w:t xml:space="preserve"> rather </w:t>
      </w:r>
      <w:r w:rsidR="00D53DE5">
        <w:t xml:space="preserve">than </w:t>
      </w:r>
      <w:r w:rsidR="00113081">
        <w:t>above</w:t>
      </w:r>
      <w:r w:rsidR="00113081">
        <w:t xml:space="preserve"> contradicti</w:t>
      </w:r>
      <w:r w:rsidR="00D53DE5">
        <w:t>ng</w:t>
      </w:r>
      <w:r w:rsidR="00113081">
        <w:t xml:space="preserve"> </w:t>
      </w:r>
      <w:r w:rsidR="00113081">
        <w:t xml:space="preserve">issues. </w:t>
      </w:r>
      <w:r w:rsidR="00113081">
        <w:t>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1D436143" w14:textId="77777777" w:rsidR="00F21557"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is one of the most debated topics in Christian history. The paper shows that a key to understanding the theological meaning of the sonship of Jesus is to understand the human family. The etymological and etiological familial vocabulary study shows that when God created the man, God also created the family of the man. What the ‘male’ and ‘female’ originally meant to God in Genesis 1:27 is not about the sex or gender but about the human family. God created man and family in the same sixth day in the same creation process. Man and family are indivisible in the beginning. </w:t>
      </w:r>
    </w:p>
    <w:p w14:paraId="3CF70D2C" w14:textId="77777777" w:rsidR="00F21557" w:rsidRDefault="00F21557">
      <w:pPr>
        <w:spacing w:line="480" w:lineRule="auto"/>
      </w:pPr>
      <w:r>
        <w:tab/>
        <w:t xml:space="preserve">The familial study of Genesis 2:24 concluded that God designed and ordained the complicated and strict familial structure and the relationship. The purpose of the family is to </w:t>
      </w:r>
      <w:r>
        <w:lastRenderedPageBreak/>
        <w:t xml:space="preserve">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w:t>
      </w:r>
      <w:r>
        <w:lastRenderedPageBreak/>
        <w:t xml:space="preserve">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7777777"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1DE44" w14:textId="77777777" w:rsidR="003E2522" w:rsidRDefault="003E2522">
      <w:r>
        <w:separator/>
      </w:r>
    </w:p>
  </w:endnote>
  <w:endnote w:type="continuationSeparator" w:id="0">
    <w:p w14:paraId="4BDA615D" w14:textId="77777777" w:rsidR="003E2522" w:rsidRDefault="003E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C56DB" w14:textId="77777777" w:rsidR="003E2522" w:rsidRDefault="003E2522">
      <w:r>
        <w:separator/>
      </w:r>
    </w:p>
  </w:footnote>
  <w:footnote w:type="continuationSeparator" w:id="0">
    <w:p w14:paraId="5D89932E" w14:textId="77777777" w:rsidR="003E2522" w:rsidRDefault="003E2522">
      <w:r>
        <w:continuationSeparator/>
      </w:r>
    </w:p>
  </w:footnote>
  <w:footnote w:id="1">
    <w:p w14:paraId="704A8A87" w14:textId="77777777" w:rsidR="00F21557" w:rsidRDefault="00F21557">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F21557" w:rsidRDefault="00F21557">
      <w:pPr>
        <w:pStyle w:val="FootnoteText"/>
        <w:ind w:firstLine="720"/>
      </w:pPr>
    </w:p>
  </w:footnote>
  <w:footnote w:id="2">
    <w:p w14:paraId="0D9DC846" w14:textId="77777777" w:rsidR="00F21557" w:rsidRDefault="00F21557">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F21557" w:rsidRDefault="00F21557">
      <w:pPr>
        <w:pStyle w:val="FootnoteText"/>
      </w:pPr>
    </w:p>
  </w:footnote>
  <w:footnote w:id="3">
    <w:p w14:paraId="4B73B4DD" w14:textId="77777777" w:rsidR="00F21557" w:rsidRDefault="00F21557">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F21557" w:rsidRDefault="00F21557">
      <w:pPr>
        <w:pStyle w:val="FootnoteText"/>
        <w:ind w:firstLine="720"/>
      </w:pPr>
    </w:p>
  </w:footnote>
  <w:footnote w:id="4">
    <w:p w14:paraId="442B7F78" w14:textId="77777777" w:rsidR="00F21557" w:rsidRDefault="00F21557">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F21557" w:rsidRDefault="00F21557">
      <w:pPr>
        <w:pStyle w:val="FootnoteText"/>
        <w:ind w:firstLine="720"/>
      </w:pPr>
    </w:p>
  </w:footnote>
  <w:footnote w:id="5">
    <w:p w14:paraId="6BD5D7A2" w14:textId="77777777" w:rsidR="00F21557" w:rsidRDefault="00F2155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05BE54DF" w14:textId="77777777" w:rsidR="00F21557" w:rsidRDefault="00F21557">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F21557" w:rsidRDefault="00F21557">
      <w:pPr>
        <w:pStyle w:val="FootnoteText"/>
        <w:ind w:firstLine="720"/>
      </w:pPr>
    </w:p>
  </w:footnote>
  <w:footnote w:id="7">
    <w:p w14:paraId="04BFF2FC" w14:textId="77777777" w:rsidR="00F21557" w:rsidRDefault="00F2155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F21557" w:rsidRDefault="00F21557">
      <w:pPr>
        <w:pStyle w:val="FootnoteText"/>
        <w:ind w:firstLine="720"/>
      </w:pPr>
    </w:p>
  </w:footnote>
  <w:footnote w:id="8">
    <w:p w14:paraId="77B3FD20" w14:textId="77777777" w:rsidR="00F21557" w:rsidRDefault="00F21557">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F21557" w:rsidRDefault="00F21557">
      <w:pPr>
        <w:pStyle w:val="FootnoteText"/>
        <w:ind w:firstLine="720"/>
      </w:pPr>
    </w:p>
  </w:footnote>
  <w:footnote w:id="9">
    <w:p w14:paraId="3516C3D1" w14:textId="77777777" w:rsidR="00F21557" w:rsidRDefault="00F2155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F21557" w:rsidRDefault="00F21557">
      <w:pPr>
        <w:pStyle w:val="FootnoteText"/>
        <w:ind w:firstLine="720"/>
      </w:pPr>
    </w:p>
  </w:footnote>
  <w:footnote w:id="10">
    <w:p w14:paraId="00A4DF71" w14:textId="77777777" w:rsidR="00F21557" w:rsidRDefault="00F2155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F21557" w:rsidRDefault="00F21557">
      <w:pPr>
        <w:pStyle w:val="FootnoteText"/>
        <w:ind w:firstLine="720"/>
      </w:pPr>
    </w:p>
  </w:footnote>
  <w:footnote w:id="11">
    <w:p w14:paraId="766B9930" w14:textId="77777777" w:rsidR="00F21557" w:rsidRDefault="00F2155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F21557" w:rsidRDefault="00F21557">
      <w:pPr>
        <w:pStyle w:val="FootnoteText"/>
        <w:ind w:firstLine="720"/>
      </w:pPr>
    </w:p>
  </w:footnote>
  <w:footnote w:id="12">
    <w:p w14:paraId="7F79B29E" w14:textId="77777777" w:rsidR="00F21557" w:rsidRDefault="00F2155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F21557" w:rsidRDefault="00F21557">
      <w:pPr>
        <w:pStyle w:val="FootnoteText"/>
        <w:ind w:firstLine="720"/>
      </w:pPr>
    </w:p>
  </w:footnote>
  <w:footnote w:id="13">
    <w:p w14:paraId="270FD5A0" w14:textId="77777777" w:rsidR="00F21557" w:rsidRDefault="00F2155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F21557" w:rsidRDefault="00F21557">
      <w:pPr>
        <w:pStyle w:val="FootnoteText"/>
        <w:ind w:firstLine="720"/>
      </w:pPr>
    </w:p>
  </w:footnote>
  <w:footnote w:id="14">
    <w:p w14:paraId="34C4C2B7" w14:textId="77777777" w:rsidR="00F21557" w:rsidRDefault="00F2155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5">
    <w:p w14:paraId="7B6EB5AD" w14:textId="77777777" w:rsidR="00F21557" w:rsidRDefault="00F2155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F21557" w:rsidRDefault="00F21557">
      <w:pPr>
        <w:pStyle w:val="FootnoteText"/>
        <w:ind w:firstLine="720"/>
      </w:pPr>
    </w:p>
  </w:footnote>
  <w:footnote w:id="16">
    <w:p w14:paraId="6FE55AC8" w14:textId="77777777" w:rsidR="00F21557" w:rsidRDefault="00F21557">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F21557" w:rsidRDefault="00F21557">
      <w:pPr>
        <w:pStyle w:val="FootnoteText"/>
        <w:ind w:firstLine="720"/>
      </w:pPr>
    </w:p>
  </w:footnote>
  <w:footnote w:id="17">
    <w:p w14:paraId="2B28D966" w14:textId="77777777" w:rsidR="00F21557" w:rsidRDefault="00F21557">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F21557" w:rsidRDefault="00F21557">
      <w:pPr>
        <w:pStyle w:val="FootnoteText"/>
        <w:ind w:firstLine="720"/>
      </w:pPr>
    </w:p>
  </w:footnote>
  <w:footnote w:id="18">
    <w:p w14:paraId="0F8AAE1B" w14:textId="77777777" w:rsidR="00F21557" w:rsidRDefault="00F2155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9">
    <w:p w14:paraId="5645F775" w14:textId="77777777" w:rsidR="00F21557" w:rsidRDefault="00F2155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F21557" w:rsidRDefault="00F21557">
      <w:pPr>
        <w:pStyle w:val="FootnoteText"/>
        <w:ind w:firstLine="720"/>
      </w:pPr>
    </w:p>
  </w:footnote>
  <w:footnote w:id="20">
    <w:p w14:paraId="254A0705" w14:textId="77777777" w:rsidR="00F21557" w:rsidRDefault="00F2155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1">
    <w:p w14:paraId="23FC23E8" w14:textId="77777777" w:rsidR="00F21557" w:rsidRDefault="00F2155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F21557" w:rsidRDefault="00F21557">
      <w:pPr>
        <w:pStyle w:val="FootnoteText"/>
        <w:ind w:firstLine="720"/>
      </w:pPr>
    </w:p>
  </w:footnote>
  <w:footnote w:id="22">
    <w:p w14:paraId="107539E0" w14:textId="77777777" w:rsidR="00F21557" w:rsidRDefault="00F21557">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F21557" w:rsidRDefault="00F21557">
      <w:pPr>
        <w:pStyle w:val="FootnoteText"/>
        <w:ind w:firstLine="720"/>
      </w:pPr>
    </w:p>
  </w:footnote>
  <w:footnote w:id="23">
    <w:p w14:paraId="5AA56A2A" w14:textId="77777777" w:rsidR="00F21557" w:rsidRDefault="00F21557">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F21557" w:rsidRDefault="00F21557">
      <w:pPr>
        <w:pStyle w:val="FootnoteText"/>
        <w:ind w:firstLine="720"/>
      </w:pPr>
    </w:p>
  </w:footnote>
  <w:footnote w:id="24">
    <w:p w14:paraId="29B67AFB" w14:textId="77777777" w:rsidR="00F21557" w:rsidRDefault="00F21557">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F21557" w:rsidRDefault="00F21557">
      <w:pPr>
        <w:pStyle w:val="FootnoteText"/>
        <w:ind w:firstLine="720"/>
      </w:pPr>
    </w:p>
  </w:footnote>
  <w:footnote w:id="25">
    <w:p w14:paraId="749EE84D" w14:textId="77777777" w:rsidR="00F21557" w:rsidRDefault="00F2155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F21557" w:rsidRDefault="00F21557">
      <w:pPr>
        <w:pStyle w:val="FootnoteText"/>
        <w:ind w:firstLine="720"/>
      </w:pPr>
    </w:p>
  </w:footnote>
  <w:footnote w:id="26">
    <w:p w14:paraId="11FE94AA" w14:textId="77777777" w:rsidR="00F21557" w:rsidRDefault="00F21557">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F21557" w:rsidRDefault="00F21557">
      <w:pPr>
        <w:pStyle w:val="FootnoteText"/>
      </w:pPr>
    </w:p>
  </w:footnote>
  <w:footnote w:id="27">
    <w:p w14:paraId="269110E3"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F21557" w:rsidRDefault="00F21557">
      <w:pPr>
        <w:pStyle w:val="FootnoteText"/>
        <w:ind w:firstLine="720"/>
      </w:pPr>
    </w:p>
  </w:footnote>
  <w:footnote w:id="28">
    <w:p w14:paraId="3F9245FA" w14:textId="77777777" w:rsidR="00F21557" w:rsidRDefault="00F21557">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F21557" w:rsidRDefault="00F21557">
      <w:pPr>
        <w:pStyle w:val="FootnoteText"/>
        <w:ind w:firstLine="720"/>
      </w:pPr>
    </w:p>
  </w:footnote>
  <w:footnote w:id="29">
    <w:p w14:paraId="53BABD39" w14:textId="77777777" w:rsidR="00F21557" w:rsidRDefault="00F21557">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F21557" w:rsidRDefault="00F21557">
      <w:pPr>
        <w:pStyle w:val="FootnoteText"/>
        <w:ind w:firstLine="720"/>
      </w:pPr>
    </w:p>
  </w:footnote>
  <w:footnote w:id="30">
    <w:p w14:paraId="400B6152"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F21557" w:rsidRDefault="00F21557">
      <w:pPr>
        <w:pStyle w:val="FootnoteText"/>
        <w:ind w:firstLine="720"/>
      </w:pPr>
    </w:p>
  </w:footnote>
  <w:footnote w:id="33">
    <w:p w14:paraId="50CE7D6B" w14:textId="77777777" w:rsidR="00F21557" w:rsidRDefault="00F21557">
      <w:pPr>
        <w:pStyle w:val="FootnoteText"/>
        <w:ind w:firstLine="720"/>
      </w:pPr>
      <w:r>
        <w:rPr>
          <w:rStyle w:val="FootnoteReference"/>
        </w:rPr>
        <w:footnoteRef/>
      </w:r>
      <w:r>
        <w:t xml:space="preserve"> Ibid</w:t>
      </w:r>
    </w:p>
    <w:p w14:paraId="1CAE462B" w14:textId="77777777" w:rsidR="00F21557" w:rsidRDefault="00F21557">
      <w:pPr>
        <w:pStyle w:val="FootnoteText"/>
        <w:ind w:firstLine="720"/>
      </w:pPr>
    </w:p>
  </w:footnote>
  <w:footnote w:id="34">
    <w:p w14:paraId="64C6A05B" w14:textId="77777777" w:rsidR="00F21557" w:rsidRDefault="00F2155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5">
    <w:p w14:paraId="3302C0DD" w14:textId="77777777" w:rsidR="00F21557" w:rsidRDefault="00F21557">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F21557" w:rsidRDefault="00F21557">
      <w:pPr>
        <w:pStyle w:val="FootnoteText"/>
      </w:pPr>
    </w:p>
  </w:footnote>
  <w:footnote w:id="36">
    <w:p w14:paraId="225816FB" w14:textId="77777777" w:rsidR="00F21557" w:rsidRDefault="00F2155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F21557" w:rsidRDefault="00F21557">
      <w:pPr>
        <w:pStyle w:val="FootnoteText"/>
        <w:ind w:firstLine="720"/>
      </w:pPr>
    </w:p>
  </w:footnote>
  <w:footnote w:id="37">
    <w:p w14:paraId="5FEAC196" w14:textId="77777777" w:rsidR="00F21557" w:rsidRDefault="00F21557">
      <w:pPr>
        <w:pStyle w:val="FootnoteText"/>
        <w:ind w:firstLine="720"/>
      </w:pPr>
      <w:r>
        <w:rPr>
          <w:rStyle w:val="FootnoteReference"/>
        </w:rPr>
        <w:footnoteRef/>
      </w:r>
      <w:r>
        <w:t xml:space="preserve"> Ibid</w:t>
      </w:r>
    </w:p>
    <w:p w14:paraId="4C119107" w14:textId="77777777" w:rsidR="00F21557" w:rsidRDefault="00F21557">
      <w:pPr>
        <w:pStyle w:val="FootnoteText"/>
        <w:ind w:firstLine="720"/>
      </w:pPr>
    </w:p>
  </w:footnote>
  <w:footnote w:id="38">
    <w:p w14:paraId="58F584D8" w14:textId="77777777" w:rsidR="00F21557" w:rsidRDefault="00F21557">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F21557" w:rsidRDefault="00F21557">
      <w:pPr>
        <w:pStyle w:val="FootnoteText"/>
      </w:pPr>
    </w:p>
  </w:footnote>
  <w:footnote w:id="39">
    <w:p w14:paraId="4B366008" w14:textId="77777777" w:rsidR="00F21557" w:rsidRDefault="00F2155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F21557" w:rsidRDefault="00F21557">
      <w:pPr>
        <w:pStyle w:val="FootnoteText"/>
      </w:pPr>
    </w:p>
  </w:footnote>
  <w:footnote w:id="40">
    <w:p w14:paraId="567ADA1F" w14:textId="77777777" w:rsidR="00F21557" w:rsidRDefault="00F21557">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F21557" w:rsidRDefault="00F21557">
      <w:pPr>
        <w:pStyle w:val="FootnoteText"/>
      </w:pPr>
    </w:p>
  </w:footnote>
  <w:footnote w:id="41">
    <w:p w14:paraId="47BE7C7D" w14:textId="77777777" w:rsidR="00F21557" w:rsidRDefault="00F21557">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F21557" w:rsidRDefault="00F21557">
      <w:pPr>
        <w:pStyle w:val="FootnoteText"/>
        <w:ind w:firstLine="720"/>
      </w:pPr>
    </w:p>
  </w:footnote>
  <w:footnote w:id="42">
    <w:p w14:paraId="1F924862" w14:textId="77777777" w:rsidR="00F21557" w:rsidRDefault="00F2155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F21557" w:rsidRDefault="00F21557">
      <w:pPr>
        <w:pStyle w:val="FootnoteText"/>
        <w:ind w:firstLine="720"/>
      </w:pPr>
    </w:p>
  </w:footnote>
  <w:footnote w:id="43">
    <w:p w14:paraId="05E54DDF" w14:textId="77777777" w:rsidR="00F21557" w:rsidRDefault="00F21557">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F21557" w:rsidRDefault="00F21557">
      <w:pPr>
        <w:pStyle w:val="FootnoteText"/>
      </w:pPr>
    </w:p>
  </w:footnote>
  <w:footnote w:id="44">
    <w:p w14:paraId="32C3963C" w14:textId="77777777" w:rsidR="00F21557" w:rsidRDefault="00F21557">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F21557" w:rsidRDefault="00F21557">
      <w:pPr>
        <w:pStyle w:val="FootnoteText"/>
      </w:pPr>
    </w:p>
  </w:footnote>
  <w:footnote w:id="45">
    <w:p w14:paraId="5C3E9506" w14:textId="77777777" w:rsidR="00F21557" w:rsidRDefault="00F2155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F21557" w:rsidRDefault="00F21557">
      <w:pPr>
        <w:pStyle w:val="FootnoteText"/>
        <w:ind w:firstLine="720"/>
      </w:pPr>
    </w:p>
  </w:footnote>
  <w:footnote w:id="46">
    <w:p w14:paraId="457C90D1" w14:textId="77777777" w:rsidR="00F21557" w:rsidRDefault="00F2155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F21557" w:rsidRDefault="00F21557">
      <w:pPr>
        <w:pStyle w:val="FootnoteText"/>
      </w:pPr>
    </w:p>
  </w:footnote>
  <w:footnote w:id="47">
    <w:p w14:paraId="7D41E50B" w14:textId="77777777" w:rsidR="00F21557" w:rsidRDefault="00F21557">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F21557" w:rsidRDefault="00F21557">
      <w:pPr>
        <w:pStyle w:val="FootnoteText"/>
        <w:ind w:firstLine="720"/>
      </w:pPr>
    </w:p>
  </w:footnote>
  <w:footnote w:id="48">
    <w:p w14:paraId="777C3E64" w14:textId="77777777" w:rsidR="00F21557" w:rsidRDefault="00F21557">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F21557" w:rsidRDefault="00F21557">
      <w:pPr>
        <w:pStyle w:val="FootnoteText"/>
      </w:pPr>
    </w:p>
  </w:footnote>
  <w:footnote w:id="49">
    <w:p w14:paraId="65126F17" w14:textId="77777777" w:rsidR="00F21557" w:rsidRDefault="00F21557">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F21557" w:rsidRDefault="00F21557">
      <w:pPr>
        <w:pStyle w:val="FootnoteText"/>
      </w:pPr>
    </w:p>
  </w:footnote>
  <w:footnote w:id="50">
    <w:p w14:paraId="251882CD" w14:textId="77777777" w:rsidR="00F21557" w:rsidRDefault="00F21557">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F21557" w:rsidRDefault="00F2155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F21557" w:rsidRDefault="00F21557">
      <w:pPr>
        <w:pStyle w:val="FootnoteText"/>
      </w:pPr>
    </w:p>
  </w:footnote>
  <w:footnote w:id="52">
    <w:p w14:paraId="5A07B646" w14:textId="77777777" w:rsidR="00F21557" w:rsidRDefault="00F21557">
      <w:pPr>
        <w:pStyle w:val="FootnoteText"/>
        <w:ind w:firstLine="720"/>
      </w:pPr>
      <w:r>
        <w:rPr>
          <w:rStyle w:val="FootnoteReference"/>
        </w:rPr>
        <w:footnoteRef/>
      </w:r>
      <w:r>
        <w:t xml:space="preserve"> Herbert Lockyer. </w:t>
      </w:r>
      <w:r>
        <w:rPr>
          <w:i/>
          <w:iCs/>
        </w:rPr>
        <w:t>All the Men of the Bible</w:t>
      </w:r>
      <w:r>
        <w:t>. Grand Rapids, MI: Zondervan,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113081"/>
    <w:rsid w:val="00171219"/>
    <w:rsid w:val="003E2522"/>
    <w:rsid w:val="004073D8"/>
    <w:rsid w:val="00632BAD"/>
    <w:rsid w:val="00D074B2"/>
    <w:rsid w:val="00D53DE5"/>
    <w:rsid w:val="00F21557"/>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64</Pages>
  <Words>15114</Words>
  <Characters>86152</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2021-05-01T02:45:00Z</cp:lastPrinted>
  <dcterms:created xsi:type="dcterms:W3CDTF">2021-05-07T14:11:00Z</dcterms:created>
  <dcterms:modified xsi:type="dcterms:W3CDTF">2021-05-07T14:19:00Z</dcterms:modified>
</cp:coreProperties>
</file>