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073CEFE2" w:rsidR="006F3192" w:rsidRDefault="00F21557">
      <w:pPr>
        <w:spacing w:line="480" w:lineRule="auto"/>
      </w:pPr>
      <w:r>
        <w:tab/>
        <w:t>The study concludes that Genesis 2:24 belongs to Adam’s speech</w:t>
      </w:r>
      <w:r w:rsidR="00002C88">
        <w:t xml:space="preserve">. </w:t>
      </w:r>
      <w:r w:rsidR="00091AD1">
        <w:t xml:space="preserve">The term </w:t>
      </w:r>
      <w:r w:rsidR="00BC390C">
        <w:t>‘heavenly Father’</w:t>
      </w:r>
      <w:r w:rsidR="00091AD1">
        <w:t xml:space="preserve"> frequently used by Jesus </w:t>
      </w:r>
      <w:r w:rsidR="00BC390C">
        <w:t>is a salient evidence</w:t>
      </w:r>
      <w:r w:rsidR="00091AD1">
        <w:t xml:space="preserve"> </w:t>
      </w:r>
      <w:r w:rsidR="00002C88">
        <w:t xml:space="preserve">to show </w:t>
      </w:r>
      <w:r w:rsidR="00091AD1">
        <w:t xml:space="preserve">that </w:t>
      </w:r>
      <w:r w:rsidR="00002C88">
        <w:t xml:space="preserve">how the term ‘father’ was created by Adam, was perverted after the Fall, and was restored to its </w:t>
      </w:r>
      <w:r w:rsidR="00091AD1">
        <w:t xml:space="preserve">original contextual </w:t>
      </w:r>
      <w:r w:rsidR="00091AD1">
        <w:lastRenderedPageBreak/>
        <w:t>meanings</w:t>
      </w:r>
      <w:r w:rsidR="00BC390C">
        <w:t xml:space="preserve">. </w:t>
      </w:r>
      <w:r w:rsidR="003E00E0">
        <w:t>Such</w:t>
      </w:r>
      <w:r>
        <w:t xml:space="preserve"> idea do</w:t>
      </w:r>
      <w:r w:rsidR="003E00E0">
        <w:t>es</w:t>
      </w:r>
      <w:r>
        <w:t xml:space="preserve"> not contradict </w:t>
      </w:r>
      <w:r w:rsidR="003E00E0">
        <w:t xml:space="preserve">to </w:t>
      </w:r>
      <w:r>
        <w:t xml:space="preserve">but are compatible with all previous theories. </w:t>
      </w:r>
      <w:r w:rsidR="00091AD1">
        <w:tab/>
      </w:r>
      <w:r>
        <w:t xml:space="preserve">The quotation marks are not part of the strokes in the </w:t>
      </w:r>
      <w:r w:rsidR="00BC390C">
        <w:t xml:space="preserve">original Hebrew </w:t>
      </w:r>
      <w:r>
        <w:t>Scripture</w:t>
      </w:r>
      <w:r w:rsidR="00BC390C">
        <w:t>. Jesus said</w:t>
      </w:r>
      <w:r w:rsidR="00091AD1">
        <w:t>:</w:t>
      </w:r>
      <w:r w:rsidR="00BC390C">
        <w:t xml:space="preserve"> "I tell you the truth, until heaven and earth disappear, not the smallest letter, not the least stroke of a pen, will by any means disappear from the Law until everything is accomplished." (Mat5:18 NIV) </w:t>
      </w:r>
      <w:r w:rsidR="00091AD1">
        <w:t>Whether t</w:t>
      </w:r>
      <w:r>
        <w:t xml:space="preserve">he quotation problem </w:t>
      </w:r>
      <w:r w:rsidR="00091AD1">
        <w:t>should be used or not in any translation is</w:t>
      </w:r>
      <w:r>
        <w:t xml:space="preserv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Genesis 2:24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77402" w14:textId="77777777" w:rsidR="00FE1F8C" w:rsidRDefault="00FE1F8C">
      <w:r>
        <w:separator/>
      </w:r>
    </w:p>
  </w:endnote>
  <w:endnote w:type="continuationSeparator" w:id="0">
    <w:p w14:paraId="667B63F1" w14:textId="77777777" w:rsidR="00FE1F8C" w:rsidRDefault="00FE1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4500A" w14:textId="77777777" w:rsidR="00FE1F8C" w:rsidRDefault="00FE1F8C">
      <w:r>
        <w:separator/>
      </w:r>
    </w:p>
  </w:footnote>
  <w:footnote w:type="continuationSeparator" w:id="0">
    <w:p w14:paraId="043BF588" w14:textId="77777777" w:rsidR="00FE1F8C" w:rsidRDefault="00FE1F8C">
      <w:r>
        <w:continuationSeparator/>
      </w:r>
    </w:p>
  </w:footnote>
  <w:footnote w:id="1">
    <w:p w14:paraId="704A8A87" w14:textId="77777777" w:rsidR="00091AD1" w:rsidRDefault="00091AD1">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091AD1" w:rsidRDefault="00091AD1">
      <w:pPr>
        <w:pStyle w:val="FootnoteText"/>
        <w:ind w:firstLine="720"/>
      </w:pPr>
    </w:p>
  </w:footnote>
  <w:footnote w:id="2">
    <w:p w14:paraId="0D9DC846" w14:textId="77777777" w:rsidR="00091AD1" w:rsidRDefault="00091AD1">
      <w:pPr>
        <w:pStyle w:val="FootnoteText"/>
        <w:ind w:firstLine="720"/>
      </w:pPr>
      <w:r>
        <w:rPr>
          <w:rStyle w:val="FootnoteReference"/>
        </w:rPr>
        <w:footnoteRef/>
      </w:r>
      <w:r>
        <w:t xml:space="preserve"> S. D. Giere. </w:t>
      </w:r>
      <w:r>
        <w:rPr>
          <w:i/>
          <w:iCs/>
        </w:rPr>
        <w:t>A New Glimpse of Day One : Intertextuality, History of Interpretation, and Genesis 1. 1-5</w:t>
      </w:r>
      <w:r>
        <w:t>. Ed. by S. D. Giere. New York: Walter De Gruyter, 2009.</w:t>
      </w:r>
    </w:p>
    <w:p w14:paraId="7918E770" w14:textId="77777777" w:rsidR="00091AD1" w:rsidRDefault="00091AD1">
      <w:pPr>
        <w:pStyle w:val="FootnoteText"/>
      </w:pPr>
    </w:p>
  </w:footnote>
  <w:footnote w:id="3">
    <w:p w14:paraId="4B73B4DD" w14:textId="77777777" w:rsidR="00091AD1" w:rsidRDefault="00091AD1">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091AD1" w:rsidRDefault="00091AD1">
      <w:pPr>
        <w:pStyle w:val="FootnoteText"/>
        <w:ind w:firstLine="720"/>
      </w:pPr>
    </w:p>
  </w:footnote>
  <w:footnote w:id="4">
    <w:p w14:paraId="442B7F78" w14:textId="77777777" w:rsidR="00091AD1" w:rsidRDefault="00091AD1">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091AD1" w:rsidRDefault="00091AD1">
      <w:pPr>
        <w:pStyle w:val="FootnoteText"/>
        <w:ind w:firstLine="720"/>
      </w:pPr>
    </w:p>
  </w:footnote>
  <w:footnote w:id="5">
    <w:p w14:paraId="6BD5D7A2"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6">
    <w:p w14:paraId="05BE54DF" w14:textId="77777777" w:rsidR="00091AD1" w:rsidRDefault="00091AD1">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091AD1" w:rsidRDefault="00091AD1">
      <w:pPr>
        <w:pStyle w:val="FootnoteText"/>
        <w:ind w:firstLine="720"/>
      </w:pPr>
    </w:p>
  </w:footnote>
  <w:footnote w:id="7">
    <w:p w14:paraId="04BFF2FC"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091AD1" w:rsidRDefault="00091AD1">
      <w:pPr>
        <w:pStyle w:val="FootnoteText"/>
        <w:ind w:firstLine="720"/>
      </w:pPr>
    </w:p>
  </w:footnote>
  <w:footnote w:id="8">
    <w:p w14:paraId="77B3FD20" w14:textId="77777777" w:rsidR="00091AD1" w:rsidRDefault="00091AD1">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091AD1" w:rsidRDefault="00091AD1">
      <w:pPr>
        <w:pStyle w:val="FootnoteText"/>
        <w:ind w:firstLine="720"/>
      </w:pPr>
    </w:p>
  </w:footnote>
  <w:footnote w:id="9">
    <w:p w14:paraId="3516C3D1"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4562F6DA" w14:textId="77777777" w:rsidR="00091AD1" w:rsidRDefault="00091AD1">
      <w:pPr>
        <w:pStyle w:val="FootnoteText"/>
        <w:ind w:firstLine="720"/>
      </w:pPr>
    </w:p>
  </w:footnote>
  <w:footnote w:id="10">
    <w:p w14:paraId="00A4DF71"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091AD1" w:rsidRDefault="00091AD1">
      <w:pPr>
        <w:pStyle w:val="FootnoteText"/>
        <w:ind w:firstLine="720"/>
      </w:pPr>
    </w:p>
  </w:footnote>
  <w:footnote w:id="11">
    <w:p w14:paraId="766B9930"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N.p., 1905.</w:t>
      </w:r>
    </w:p>
    <w:p w14:paraId="18E0B483" w14:textId="77777777" w:rsidR="00091AD1" w:rsidRDefault="00091AD1">
      <w:pPr>
        <w:pStyle w:val="FootnoteText"/>
        <w:ind w:firstLine="720"/>
      </w:pPr>
    </w:p>
  </w:footnote>
  <w:footnote w:id="12">
    <w:p w14:paraId="7F79B29E"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091AD1" w:rsidRDefault="00091AD1">
      <w:pPr>
        <w:pStyle w:val="FootnoteText"/>
        <w:ind w:firstLine="720"/>
      </w:pPr>
    </w:p>
  </w:footnote>
  <w:footnote w:id="13">
    <w:p w14:paraId="270FD5A0"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N.p., 1870. </w:t>
      </w:r>
      <w:hyperlink r:id="rId4" w:history="1">
        <w:r>
          <w:rPr>
            <w:rStyle w:val="Hyperlink"/>
          </w:rPr>
          <w:t>https://biblehub.com/commentaries/genesis/2-24.htm</w:t>
        </w:r>
      </w:hyperlink>
      <w:r>
        <w:t>.</w:t>
      </w:r>
    </w:p>
    <w:p w14:paraId="25832F92" w14:textId="77777777" w:rsidR="00091AD1" w:rsidRDefault="00091AD1">
      <w:pPr>
        <w:pStyle w:val="FootnoteText"/>
        <w:ind w:firstLine="720"/>
      </w:pPr>
    </w:p>
  </w:footnote>
  <w:footnote w:id="14">
    <w:p w14:paraId="34C4C2B7"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footnote>
  <w:footnote w:id="15">
    <w:p w14:paraId="7B6EB5AD"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xml:space="preserve"> Vol. 52 Issue 3 (Jul 1990) p391.</w:t>
      </w:r>
    </w:p>
    <w:p w14:paraId="613CADD3" w14:textId="77777777" w:rsidR="00091AD1" w:rsidRDefault="00091AD1">
      <w:pPr>
        <w:pStyle w:val="FootnoteText"/>
        <w:ind w:firstLine="720"/>
      </w:pPr>
    </w:p>
  </w:footnote>
  <w:footnote w:id="16">
    <w:p w14:paraId="6FE55AC8" w14:textId="77777777" w:rsidR="00091AD1" w:rsidRDefault="00091AD1">
      <w:pPr>
        <w:pStyle w:val="FootnoteText"/>
        <w:ind w:firstLine="720"/>
      </w:pPr>
      <w:r>
        <w:rPr>
          <w:rStyle w:val="FootnoteReference"/>
        </w:rPr>
        <w:footnoteRef/>
      </w:r>
      <w:r>
        <w:t xml:space="preserve"> Matthew Henry. </w:t>
      </w:r>
      <w:r>
        <w:rPr>
          <w:i/>
          <w:iCs/>
        </w:rPr>
        <w:t>Matthew Henry's Concise Commentary</w:t>
      </w:r>
      <w:r>
        <w:t>. N.p., 1714.</w:t>
      </w:r>
    </w:p>
    <w:p w14:paraId="4CD89069" w14:textId="77777777" w:rsidR="00091AD1" w:rsidRDefault="00091AD1">
      <w:pPr>
        <w:pStyle w:val="FootnoteText"/>
        <w:ind w:firstLine="720"/>
      </w:pPr>
    </w:p>
  </w:footnote>
  <w:footnote w:id="17">
    <w:p w14:paraId="2B28D966" w14:textId="77777777" w:rsidR="00091AD1" w:rsidRDefault="00091AD1">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N.p., 1871. </w:t>
      </w:r>
      <w:hyperlink r:id="rId5" w:history="1">
        <w:r>
          <w:rPr>
            <w:rStyle w:val="Hyperlink"/>
          </w:rPr>
          <w:t>https://biblehub.com/commentaries/genesis/2-24.htm</w:t>
        </w:r>
      </w:hyperlink>
      <w:r>
        <w:t>.</w:t>
      </w:r>
    </w:p>
    <w:p w14:paraId="5928DBF2" w14:textId="77777777" w:rsidR="00091AD1" w:rsidRDefault="00091AD1">
      <w:pPr>
        <w:pStyle w:val="FootnoteText"/>
        <w:ind w:firstLine="720"/>
      </w:pPr>
    </w:p>
  </w:footnote>
  <w:footnote w:id="18">
    <w:p w14:paraId="0F8AAE1B" w14:textId="77777777" w:rsidR="00091AD1" w:rsidRDefault="00091AD1">
      <w:pPr>
        <w:pStyle w:val="FootnoteText"/>
        <w:ind w:firstLine="720"/>
      </w:pPr>
      <w:r>
        <w:rPr>
          <w:rStyle w:val="FootnoteReference"/>
        </w:rPr>
        <w:footnoteRef/>
      </w:r>
      <w:r>
        <w:t xml:space="preserve"> Albert Barnes. </w:t>
      </w:r>
      <w:r>
        <w:rPr>
          <w:i/>
          <w:iCs/>
        </w:rPr>
        <w:t>Barnes' Notes on the Bible</w:t>
      </w:r>
      <w:r>
        <w:t>. N.p., 1870. https://biblehub.com/commentaries/genesis/2-24.htm.</w:t>
      </w:r>
    </w:p>
  </w:footnote>
  <w:footnote w:id="19">
    <w:p w14:paraId="5645F775" w14:textId="77777777" w:rsidR="00091AD1" w:rsidRDefault="00091AD1">
      <w:pPr>
        <w:pStyle w:val="FootnoteText"/>
        <w:ind w:firstLine="720"/>
      </w:pPr>
      <w:r>
        <w:rPr>
          <w:rStyle w:val="FootnoteReference"/>
        </w:rPr>
        <w:footnoteRef/>
      </w:r>
      <w:r>
        <w:t xml:space="preserve"> H. D. M. Spence and ‎Joseph S. 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091AD1" w:rsidRDefault="00091AD1">
      <w:pPr>
        <w:pStyle w:val="FootnoteText"/>
        <w:ind w:firstLine="720"/>
      </w:pPr>
    </w:p>
  </w:footnote>
  <w:footnote w:id="20">
    <w:p w14:paraId="254A0705" w14:textId="77777777" w:rsidR="00091AD1" w:rsidRDefault="00091AD1">
      <w:pPr>
        <w:pStyle w:val="FootnoteText"/>
        <w:ind w:firstLine="720"/>
      </w:pPr>
      <w:r>
        <w:rPr>
          <w:rStyle w:val="FootnoteReference"/>
        </w:rPr>
        <w:footnoteRef/>
      </w:r>
      <w:r>
        <w:t xml:space="preserve"> John Perowne. </w:t>
      </w:r>
      <w:r>
        <w:rPr>
          <w:i/>
          <w:iCs/>
        </w:rPr>
        <w:t>Cambridge Bible for Schools and Colleges</w:t>
      </w:r>
      <w:r>
        <w:t>. UK: Cambridge University Press, 1882. https://biblehub.com/commentaries/genesis/2-24.htm.</w:t>
      </w:r>
    </w:p>
  </w:footnote>
  <w:footnote w:id="21">
    <w:p w14:paraId="23FC23E8"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1AFA5400" w14:textId="77777777" w:rsidR="00091AD1" w:rsidRDefault="00091AD1">
      <w:pPr>
        <w:pStyle w:val="FootnoteText"/>
        <w:ind w:firstLine="720"/>
      </w:pPr>
    </w:p>
  </w:footnote>
  <w:footnote w:id="22">
    <w:p w14:paraId="107539E0" w14:textId="77777777" w:rsidR="00091AD1" w:rsidRDefault="00091AD1">
      <w:pPr>
        <w:pStyle w:val="FootnoteText"/>
        <w:ind w:firstLine="720"/>
      </w:pPr>
      <w:r>
        <w:rPr>
          <w:rStyle w:val="FootnoteReference"/>
        </w:rPr>
        <w:footnoteRef/>
      </w:r>
      <w:r>
        <w:t xml:space="preserve"> Matthew Poole. </w:t>
      </w:r>
      <w:r>
        <w:rPr>
          <w:i/>
          <w:iCs/>
        </w:rPr>
        <w:t>Matthew Poole's Commentary</w:t>
      </w:r>
      <w:r>
        <w:t xml:space="preserve">. N.p., 1679. </w:t>
      </w:r>
      <w:hyperlink r:id="rId7" w:history="1">
        <w:r>
          <w:rPr>
            <w:rStyle w:val="Hyperlink"/>
          </w:rPr>
          <w:t>https://biblehub.com/commentaries/genesis/2-24.htm</w:t>
        </w:r>
      </w:hyperlink>
      <w:r>
        <w:t>.</w:t>
      </w:r>
    </w:p>
    <w:p w14:paraId="7C3A10DA" w14:textId="77777777" w:rsidR="00091AD1" w:rsidRDefault="00091AD1">
      <w:pPr>
        <w:pStyle w:val="FootnoteText"/>
        <w:ind w:firstLine="720"/>
      </w:pPr>
    </w:p>
  </w:footnote>
  <w:footnote w:id="23">
    <w:p w14:paraId="5AA56A2A" w14:textId="77777777" w:rsidR="00091AD1" w:rsidRDefault="00091AD1">
      <w:pPr>
        <w:pStyle w:val="FootnoteText"/>
        <w:ind w:firstLine="720"/>
      </w:pPr>
      <w:r>
        <w:rPr>
          <w:rStyle w:val="FootnoteReference"/>
        </w:rPr>
        <w:footnoteRef/>
      </w:r>
      <w:r>
        <w:t xml:space="preserve"> Joseph Benson. </w:t>
      </w:r>
      <w:r>
        <w:rPr>
          <w:i/>
          <w:iCs/>
        </w:rPr>
        <w:t>Benson Commentary</w:t>
      </w:r>
      <w:r>
        <w:t xml:space="preserve">. N.p., 1821. </w:t>
      </w:r>
      <w:hyperlink r:id="rId8" w:history="1">
        <w:r>
          <w:rPr>
            <w:rStyle w:val="Hyperlink"/>
          </w:rPr>
          <w:t>https://biblehub.com/commentaries/genesis/2-24.htm</w:t>
        </w:r>
      </w:hyperlink>
      <w:r>
        <w:t>.</w:t>
      </w:r>
    </w:p>
    <w:p w14:paraId="16E6A78D" w14:textId="77777777" w:rsidR="00091AD1" w:rsidRDefault="00091AD1">
      <w:pPr>
        <w:pStyle w:val="FootnoteText"/>
        <w:ind w:firstLine="720"/>
      </w:pPr>
    </w:p>
  </w:footnote>
  <w:footnote w:id="24">
    <w:p w14:paraId="29B67AFB" w14:textId="77777777" w:rsidR="00091AD1" w:rsidRDefault="00091AD1">
      <w:pPr>
        <w:pStyle w:val="FootnoteText"/>
        <w:ind w:firstLine="720"/>
      </w:pPr>
      <w:r>
        <w:rPr>
          <w:rStyle w:val="FootnoteReference"/>
        </w:rPr>
        <w:footnoteRef/>
      </w:r>
      <w:r>
        <w:t xml:space="preserve"> John Gill. </w:t>
      </w:r>
      <w:r>
        <w:rPr>
          <w:i/>
          <w:iCs/>
        </w:rPr>
        <w:t>Gill's Exposition of the Entire Bible</w:t>
      </w:r>
      <w:r>
        <w:t>. N.p., 1771.</w:t>
      </w:r>
    </w:p>
    <w:p w14:paraId="5898AFD8" w14:textId="77777777" w:rsidR="00091AD1" w:rsidRDefault="00091AD1">
      <w:pPr>
        <w:pStyle w:val="FootnoteText"/>
        <w:ind w:firstLine="720"/>
      </w:pPr>
    </w:p>
  </w:footnote>
  <w:footnote w:id="25">
    <w:p w14:paraId="749EE84D" w14:textId="77777777" w:rsidR="00091AD1" w:rsidRDefault="00091AD1">
      <w:pPr>
        <w:pStyle w:val="FootnoteText"/>
        <w:ind w:firstLine="720"/>
      </w:pPr>
      <w:r>
        <w:rPr>
          <w:rStyle w:val="FootnoteReference"/>
        </w:rPr>
        <w:footnoteRef/>
      </w:r>
      <w:r>
        <w:t xml:space="preserve"> Ziony Zevit. </w:t>
      </w:r>
      <w:r>
        <w:rPr>
          <w:i/>
          <w:iCs/>
        </w:rPr>
        <w:t>What Really Happened in the Garden of Eden?</w:t>
      </w:r>
      <w:r>
        <w:t>. London, UK: Yale University Press, 2013.</w:t>
      </w:r>
    </w:p>
    <w:p w14:paraId="0F42D553" w14:textId="77777777" w:rsidR="00091AD1" w:rsidRDefault="00091AD1">
      <w:pPr>
        <w:pStyle w:val="FootnoteText"/>
        <w:ind w:firstLine="720"/>
      </w:pPr>
    </w:p>
  </w:footnote>
  <w:footnote w:id="26">
    <w:p w14:paraId="11FE94AA" w14:textId="77777777" w:rsidR="00091AD1" w:rsidRDefault="00091AD1">
      <w:pPr>
        <w:pStyle w:val="FootnoteText"/>
        <w:ind w:firstLine="720"/>
      </w:pPr>
      <w:r>
        <w:rPr>
          <w:rStyle w:val="FootnoteReference"/>
        </w:rPr>
        <w:footnoteRef/>
      </w:r>
      <w:r>
        <w:t xml:space="preserve"> Holmes Welch. </w:t>
      </w:r>
      <w:r>
        <w:rPr>
          <w:i/>
          <w:iCs/>
        </w:rPr>
        <w:t>Taoism: The Parting of the Way</w:t>
      </w:r>
      <w:r>
        <w:t>. N.p., 1957.</w:t>
      </w:r>
    </w:p>
    <w:p w14:paraId="6E9A0A7B" w14:textId="77777777" w:rsidR="00091AD1" w:rsidRDefault="00091AD1">
      <w:pPr>
        <w:pStyle w:val="FootnoteText"/>
      </w:pPr>
    </w:p>
  </w:footnote>
  <w:footnote w:id="27">
    <w:p w14:paraId="269110E3"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091AD1" w:rsidRDefault="00091AD1">
      <w:pPr>
        <w:pStyle w:val="FootnoteText"/>
        <w:ind w:firstLine="720"/>
      </w:pPr>
    </w:p>
  </w:footnote>
  <w:footnote w:id="28">
    <w:p w14:paraId="3F9245FA" w14:textId="77777777" w:rsidR="00091AD1" w:rsidRDefault="00091AD1">
      <w:pPr>
        <w:pStyle w:val="FootnoteText"/>
        <w:ind w:firstLine="720"/>
      </w:pPr>
      <w:r>
        <w:rPr>
          <w:rStyle w:val="FootnoteReference"/>
        </w:rPr>
        <w:footnoteRef/>
      </w:r>
      <w:r>
        <w:t xml:space="preserve"> Angelo Tosato, "On Genesis 2:24" In: </w:t>
      </w:r>
      <w:r>
        <w:rPr>
          <w:i/>
          <w:iCs/>
        </w:rPr>
        <w:t>Catholic Biblical Quarterly</w:t>
      </w:r>
      <w:r>
        <w:t> Vol. 52 Issue 3 (Jul 1990) p389</w:t>
      </w:r>
    </w:p>
    <w:p w14:paraId="699351EC" w14:textId="77777777" w:rsidR="00091AD1" w:rsidRDefault="00091AD1">
      <w:pPr>
        <w:pStyle w:val="FootnoteText"/>
        <w:ind w:firstLine="720"/>
      </w:pPr>
    </w:p>
  </w:footnote>
  <w:footnote w:id="29">
    <w:p w14:paraId="53BABD39" w14:textId="77777777" w:rsidR="00091AD1" w:rsidRDefault="00091AD1">
      <w:pPr>
        <w:pStyle w:val="FootnoteText"/>
        <w:ind w:firstLine="720"/>
      </w:pPr>
      <w:r>
        <w:rPr>
          <w:rStyle w:val="FootnoteReference"/>
        </w:rPr>
        <w:footnoteRef/>
      </w:r>
      <w:r>
        <w:t xml:space="preserve"> Fabre d'Olive. </w:t>
      </w:r>
      <w:r>
        <w:rPr>
          <w:i/>
          <w:iCs/>
        </w:rPr>
        <w:t>The Hebraic Tongue Restored: And the True Meaning of the Hebrew Words Re-established and Proved by their Radical Analysis</w:t>
      </w:r>
      <w:r>
        <w:t>. New York and London: The Rnicherbocker Press, 1921. p120.</w:t>
      </w:r>
    </w:p>
    <w:p w14:paraId="3DFA2287" w14:textId="77777777" w:rsidR="00091AD1" w:rsidRDefault="00091AD1">
      <w:pPr>
        <w:pStyle w:val="FootnoteText"/>
        <w:ind w:firstLine="720"/>
      </w:pPr>
    </w:p>
  </w:footnote>
  <w:footnote w:id="30">
    <w:p w14:paraId="400B6152"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091AD1" w:rsidRDefault="00091AD1">
      <w:pPr>
        <w:pStyle w:val="FootnoteText"/>
        <w:ind w:firstLine="720"/>
      </w:pPr>
    </w:p>
  </w:footnote>
  <w:footnote w:id="33">
    <w:p w14:paraId="50CE7D6B" w14:textId="77777777" w:rsidR="00091AD1" w:rsidRDefault="00091AD1">
      <w:pPr>
        <w:pStyle w:val="FootnoteText"/>
        <w:ind w:firstLine="720"/>
      </w:pPr>
      <w:r>
        <w:rPr>
          <w:rStyle w:val="FootnoteReference"/>
        </w:rPr>
        <w:footnoteRef/>
      </w:r>
      <w:r>
        <w:t xml:space="preserve"> Ibid</w:t>
      </w:r>
    </w:p>
    <w:p w14:paraId="1CAE462B" w14:textId="77777777" w:rsidR="00091AD1" w:rsidRDefault="00091AD1">
      <w:pPr>
        <w:pStyle w:val="FootnoteText"/>
        <w:ind w:firstLine="720"/>
      </w:pPr>
    </w:p>
  </w:footnote>
  <w:footnote w:id="34">
    <w:p w14:paraId="64C6A05B"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p120. </w:t>
      </w:r>
    </w:p>
  </w:footnote>
  <w:footnote w:id="35">
    <w:p w14:paraId="3302C0DD" w14:textId="77777777" w:rsidR="00091AD1" w:rsidRDefault="00091AD1">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091AD1" w:rsidRDefault="00091AD1">
      <w:pPr>
        <w:pStyle w:val="FootnoteText"/>
      </w:pPr>
    </w:p>
  </w:footnote>
  <w:footnote w:id="36">
    <w:p w14:paraId="225816FB"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091AD1" w:rsidRDefault="00091AD1">
      <w:pPr>
        <w:pStyle w:val="FootnoteText"/>
        <w:ind w:firstLine="720"/>
      </w:pPr>
    </w:p>
  </w:footnote>
  <w:footnote w:id="37">
    <w:p w14:paraId="5FEAC196" w14:textId="77777777" w:rsidR="00091AD1" w:rsidRDefault="00091AD1">
      <w:pPr>
        <w:pStyle w:val="FootnoteText"/>
        <w:ind w:firstLine="720"/>
      </w:pPr>
      <w:r>
        <w:rPr>
          <w:rStyle w:val="FootnoteReference"/>
        </w:rPr>
        <w:footnoteRef/>
      </w:r>
      <w:r>
        <w:t xml:space="preserve"> Ibid</w:t>
      </w:r>
    </w:p>
    <w:p w14:paraId="4C119107" w14:textId="77777777" w:rsidR="00091AD1" w:rsidRDefault="00091AD1">
      <w:pPr>
        <w:pStyle w:val="FootnoteText"/>
        <w:ind w:firstLine="720"/>
      </w:pPr>
    </w:p>
  </w:footnote>
  <w:footnote w:id="38">
    <w:p w14:paraId="58F584D8" w14:textId="77777777" w:rsidR="00091AD1" w:rsidRDefault="00091AD1">
      <w:pPr>
        <w:pStyle w:val="FootnoteText"/>
        <w:ind w:firstLine="720"/>
      </w:pPr>
      <w:r>
        <w:rPr>
          <w:rStyle w:val="FootnoteReference"/>
        </w:rPr>
        <w:footnoteRef/>
      </w:r>
      <w:r>
        <w:t xml:space="preserve"> Helene M. Dallaire. </w:t>
      </w:r>
      <w:r>
        <w:rPr>
          <w:i/>
          <w:iCs/>
        </w:rPr>
        <w:t>Biblical Hebrew: A Living Language</w:t>
      </w:r>
      <w:r>
        <w:t>. Columbia, SC: Columbia International University, 2017</w:t>
      </w:r>
    </w:p>
    <w:p w14:paraId="5DF6415C" w14:textId="77777777" w:rsidR="00091AD1" w:rsidRDefault="00091AD1">
      <w:pPr>
        <w:pStyle w:val="FootnoteText"/>
      </w:pPr>
    </w:p>
  </w:footnote>
  <w:footnote w:id="39">
    <w:p w14:paraId="4B366008"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091AD1" w:rsidRDefault="00091AD1">
      <w:pPr>
        <w:pStyle w:val="FootnoteText"/>
      </w:pPr>
    </w:p>
  </w:footnote>
  <w:footnote w:id="40">
    <w:p w14:paraId="567ADA1F" w14:textId="77777777" w:rsidR="00091AD1" w:rsidRDefault="00091AD1">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091AD1" w:rsidRDefault="00091AD1">
      <w:pPr>
        <w:pStyle w:val="FootnoteText"/>
      </w:pPr>
    </w:p>
  </w:footnote>
  <w:footnote w:id="41">
    <w:p w14:paraId="47BE7C7D" w14:textId="77777777" w:rsidR="00091AD1" w:rsidRDefault="00091AD1">
      <w:pPr>
        <w:pStyle w:val="FootnoteText"/>
        <w:ind w:firstLine="720"/>
      </w:pPr>
      <w:r>
        <w:rPr>
          <w:rStyle w:val="FootnoteReference"/>
        </w:rPr>
        <w:footnoteRef/>
      </w:r>
      <w:r>
        <w:t xml:space="preserve"> 1985 John A. Phillips. </w:t>
      </w:r>
      <w:r>
        <w:rPr>
          <w:i/>
          <w:iCs/>
        </w:rPr>
        <w:t>Eve and yhwh Eve: The History of an Idea</w:t>
      </w:r>
      <w:r>
        <w:t>. San Francisco, CA: Harper &amp; Row, Sep 1, 1984.</w:t>
      </w:r>
    </w:p>
    <w:p w14:paraId="71BA9FD3" w14:textId="77777777" w:rsidR="00091AD1" w:rsidRDefault="00091AD1">
      <w:pPr>
        <w:pStyle w:val="FootnoteText"/>
        <w:ind w:firstLine="720"/>
      </w:pPr>
    </w:p>
  </w:footnote>
  <w:footnote w:id="42">
    <w:p w14:paraId="1F924862"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xml:space="preserve"> Vol. 91, No. 1 (Mar., 1972) pp. 33-37 </w:t>
      </w:r>
    </w:p>
    <w:p w14:paraId="49EF8C47" w14:textId="77777777" w:rsidR="00091AD1" w:rsidRDefault="00091AD1">
      <w:pPr>
        <w:pStyle w:val="FootnoteText"/>
        <w:ind w:firstLine="720"/>
      </w:pPr>
    </w:p>
  </w:footnote>
  <w:footnote w:id="43">
    <w:p w14:paraId="05E54DDF" w14:textId="77777777" w:rsidR="00091AD1" w:rsidRDefault="00091AD1">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091AD1" w:rsidRDefault="00091AD1">
      <w:pPr>
        <w:pStyle w:val="FootnoteText"/>
      </w:pPr>
    </w:p>
  </w:footnote>
  <w:footnote w:id="44">
    <w:p w14:paraId="32C3963C" w14:textId="77777777" w:rsidR="00091AD1" w:rsidRDefault="00091AD1">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091AD1" w:rsidRDefault="00091AD1">
      <w:pPr>
        <w:pStyle w:val="FootnoteText"/>
      </w:pPr>
    </w:p>
  </w:footnote>
  <w:footnote w:id="45">
    <w:p w14:paraId="5C3E9506" w14:textId="77777777" w:rsidR="00091AD1" w:rsidRDefault="00091AD1">
      <w:pPr>
        <w:pStyle w:val="FootnoteText"/>
        <w:ind w:firstLine="720"/>
      </w:pPr>
      <w:r>
        <w:rPr>
          <w:rStyle w:val="FootnoteReference"/>
        </w:rPr>
        <w:footnoteRef/>
      </w:r>
      <w:r>
        <w:t xml:space="preserve"> Isaac M. Kikawada, "Two Notes on Eve" In: </w:t>
      </w:r>
      <w:r>
        <w:rPr>
          <w:i/>
          <w:iCs/>
        </w:rPr>
        <w:t>Journal of Biblical Literature</w:t>
      </w:r>
      <w:r>
        <w:t> Vol. 91, No. 1 (Mar., 1972) pp. 33-37</w:t>
      </w:r>
    </w:p>
    <w:p w14:paraId="67E7DFAB" w14:textId="77777777" w:rsidR="00091AD1" w:rsidRDefault="00091AD1">
      <w:pPr>
        <w:pStyle w:val="FootnoteText"/>
        <w:ind w:firstLine="720"/>
      </w:pPr>
    </w:p>
  </w:footnote>
  <w:footnote w:id="46">
    <w:p w14:paraId="457C90D1"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091AD1" w:rsidRDefault="00091AD1">
      <w:pPr>
        <w:pStyle w:val="FootnoteText"/>
      </w:pPr>
    </w:p>
  </w:footnote>
  <w:footnote w:id="47">
    <w:p w14:paraId="7D41E50B" w14:textId="77777777" w:rsidR="00091AD1" w:rsidRDefault="00091AD1">
      <w:pPr>
        <w:pStyle w:val="FootnoteText"/>
        <w:ind w:firstLine="720"/>
      </w:pPr>
      <w:r>
        <w:rPr>
          <w:rStyle w:val="FootnoteReference"/>
        </w:rPr>
        <w:footnoteRef/>
      </w:r>
      <w:r>
        <w:t xml:space="preserve"> Peterson Brian Neil, "Does Genesis 2 Support Same Sex Marriage An Evangelical Response" In: </w:t>
      </w:r>
      <w:r>
        <w:rPr>
          <w:i/>
          <w:iCs/>
        </w:rPr>
        <w:t>Journal of the Evangelical Theological Soc</w:t>
      </w:r>
      <w:r>
        <w:t> Vol. 60 Issue 4 (Dec2017) p681-696</w:t>
      </w:r>
    </w:p>
    <w:p w14:paraId="63FCE223" w14:textId="77777777" w:rsidR="00091AD1" w:rsidRDefault="00091AD1">
      <w:pPr>
        <w:pStyle w:val="FootnoteText"/>
        <w:ind w:firstLine="720"/>
      </w:pPr>
    </w:p>
  </w:footnote>
  <w:footnote w:id="48">
    <w:p w14:paraId="777C3E64" w14:textId="77777777" w:rsidR="00091AD1" w:rsidRDefault="00091AD1">
      <w:pPr>
        <w:pStyle w:val="FootnoteText"/>
        <w:ind w:firstLine="720"/>
      </w:pPr>
      <w:r>
        <w:rPr>
          <w:rStyle w:val="FootnoteReference"/>
        </w:rPr>
        <w:footnoteRef/>
      </w:r>
      <w:r>
        <w:t xml:space="preserve"> Nathaniel Schmidt, "Yahwe Elohim" In: </w:t>
      </w:r>
      <w:r>
        <w:rPr>
          <w:i/>
          <w:iCs/>
        </w:rPr>
        <w:t>Journal of Biblical Literature</w:t>
      </w:r>
      <w:r>
        <w:t> Vol. 33, No. 1 (Mar., 1914) pp. 25-47</w:t>
      </w:r>
    </w:p>
    <w:p w14:paraId="74726ED2" w14:textId="77777777" w:rsidR="00091AD1" w:rsidRDefault="00091AD1">
      <w:pPr>
        <w:pStyle w:val="FootnoteText"/>
      </w:pPr>
    </w:p>
  </w:footnote>
  <w:footnote w:id="49">
    <w:p w14:paraId="65126F17" w14:textId="77777777" w:rsidR="00091AD1" w:rsidRDefault="00091AD1">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091AD1" w:rsidRDefault="00091AD1">
      <w:pPr>
        <w:pStyle w:val="FootnoteText"/>
      </w:pPr>
    </w:p>
  </w:footnote>
  <w:footnote w:id="50">
    <w:p w14:paraId="251882CD" w14:textId="77777777" w:rsidR="00091AD1" w:rsidRDefault="00091AD1">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091AD1" w:rsidRDefault="00091AD1">
      <w:pPr>
        <w:pStyle w:val="FootnoteText"/>
        <w:ind w:firstLine="720"/>
      </w:pPr>
      <w:r>
        <w:rPr>
          <w:rStyle w:val="FootnoteReference"/>
        </w:rPr>
        <w:footnoteRef/>
      </w:r>
      <w:r>
        <w:t xml:space="preserve"> Emanuela Prinzivalli, "Adam and the Soul of Christ in Origen's Commentary on Genesis. A Possible Reconstruction" In: </w:t>
      </w:r>
      <w:r>
        <w:rPr>
          <w:i/>
          <w:iCs/>
        </w:rPr>
        <w:t>Adamantius</w:t>
      </w:r>
      <w:r>
        <w:t xml:space="preserve"> Vol. 23 (2017) p119-129</w:t>
      </w:r>
    </w:p>
    <w:p w14:paraId="25E840B9" w14:textId="77777777" w:rsidR="00091AD1" w:rsidRDefault="00091AD1">
      <w:pPr>
        <w:pStyle w:val="FootnoteText"/>
      </w:pPr>
    </w:p>
  </w:footnote>
  <w:footnote w:id="52">
    <w:p w14:paraId="5A07B646" w14:textId="77777777" w:rsidR="00091AD1" w:rsidRDefault="00091AD1">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091AD1" w:rsidRPr="006C6F22" w:rsidRDefault="00091AD1"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N.p., 2019.</w:t>
      </w:r>
      <w:bookmarkEnd w:id="3"/>
    </w:p>
    <w:p w14:paraId="0411F3A5" w14:textId="77777777" w:rsidR="00091AD1" w:rsidRDefault="00091AD1" w:rsidP="006C6F22">
      <w:pPr>
        <w:pStyle w:val="FootnoteText"/>
      </w:pPr>
    </w:p>
  </w:footnote>
  <w:footnote w:id="54">
    <w:p w14:paraId="0F6F4273" w14:textId="77777777" w:rsidR="00091AD1" w:rsidRPr="006C6F22" w:rsidRDefault="00091AD1"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091AD1" w:rsidRDefault="00091AD1">
      <w:pPr>
        <w:pStyle w:val="FootnoteText"/>
      </w:pPr>
    </w:p>
  </w:footnote>
  <w:footnote w:id="55">
    <w:p w14:paraId="5BD6EB53" w14:textId="77777777" w:rsidR="00091AD1" w:rsidRPr="00F75B0D" w:rsidRDefault="00091AD1"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Ed. by D. A. Carson. N.p., 2012.</w:t>
      </w:r>
      <w:bookmarkEnd w:id="5"/>
    </w:p>
    <w:p w14:paraId="5F0EC1DE" w14:textId="77777777" w:rsidR="00091AD1" w:rsidRDefault="00091AD1"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02C88"/>
    <w:rsid w:val="00083F8E"/>
    <w:rsid w:val="00091AD1"/>
    <w:rsid w:val="001060AF"/>
    <w:rsid w:val="00113081"/>
    <w:rsid w:val="00160160"/>
    <w:rsid w:val="00171219"/>
    <w:rsid w:val="002A6C17"/>
    <w:rsid w:val="003029CE"/>
    <w:rsid w:val="003B2337"/>
    <w:rsid w:val="003C41AA"/>
    <w:rsid w:val="003E00E0"/>
    <w:rsid w:val="003E2522"/>
    <w:rsid w:val="004073D8"/>
    <w:rsid w:val="005050DF"/>
    <w:rsid w:val="005532DD"/>
    <w:rsid w:val="00582A3E"/>
    <w:rsid w:val="005C0AEE"/>
    <w:rsid w:val="005F74F2"/>
    <w:rsid w:val="006272F9"/>
    <w:rsid w:val="00632BAD"/>
    <w:rsid w:val="0066549B"/>
    <w:rsid w:val="00687E12"/>
    <w:rsid w:val="006C6F22"/>
    <w:rsid w:val="006F3192"/>
    <w:rsid w:val="00742F69"/>
    <w:rsid w:val="007A2129"/>
    <w:rsid w:val="00826F61"/>
    <w:rsid w:val="00831492"/>
    <w:rsid w:val="008D4D5F"/>
    <w:rsid w:val="00900B7D"/>
    <w:rsid w:val="0096400D"/>
    <w:rsid w:val="00980581"/>
    <w:rsid w:val="00A458A7"/>
    <w:rsid w:val="00A864C2"/>
    <w:rsid w:val="00B304D1"/>
    <w:rsid w:val="00BC390C"/>
    <w:rsid w:val="00C679AC"/>
    <w:rsid w:val="00CA2390"/>
    <w:rsid w:val="00D074B2"/>
    <w:rsid w:val="00D51A51"/>
    <w:rsid w:val="00D53DE5"/>
    <w:rsid w:val="00D541BD"/>
    <w:rsid w:val="00DF3834"/>
    <w:rsid w:val="00E7306E"/>
    <w:rsid w:val="00E8630D"/>
    <w:rsid w:val="00F21557"/>
    <w:rsid w:val="00F75B0D"/>
    <w:rsid w:val="00F904E7"/>
    <w:rsid w:val="00FD3B6F"/>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66</Pages>
  <Words>15424</Words>
  <Characters>87920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2022-01-20T14:47:00Z</cp:lastPrinted>
  <dcterms:created xsi:type="dcterms:W3CDTF">2022-01-20T14:47:00Z</dcterms:created>
  <dcterms:modified xsi:type="dcterms:W3CDTF">2022-01-20T14:50:00Z</dcterms:modified>
</cp:coreProperties>
</file>