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66B42E44" w:rsidR="00F21557" w:rsidRDefault="00F21557">
      <w:pPr>
        <w:jc w:val="center"/>
        <w:rPr>
          <w:color w:val="222222"/>
        </w:rPr>
      </w:pPr>
      <w:r>
        <w:rPr>
          <w:color w:val="222222"/>
        </w:rPr>
        <w:t xml:space="preserve">April </w:t>
      </w:r>
      <w:r w:rsidR="002A6C17">
        <w:rPr>
          <w:color w:val="222222"/>
        </w:rPr>
        <w:t>30</w:t>
      </w:r>
      <w:r>
        <w:rPr>
          <w:color w:val="222222"/>
        </w:rPr>
        <w:t>, 2021</w:t>
      </w:r>
      <w:r w:rsidR="002A6C17">
        <w:rPr>
          <w:color w:val="222222"/>
        </w:rPr>
        <w:br/>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6909C7CE" w:rsidR="006F3192" w:rsidRDefault="00F21557">
      <w:pPr>
        <w:spacing w:line="480" w:lineRule="auto"/>
      </w:pPr>
      <w:r>
        <w:tab/>
        <w:t>The study concludes that Genesis 2:24 belongs to Adam’s speech</w:t>
      </w:r>
      <w:r w:rsidR="00002C88">
        <w:t xml:space="preserve">. </w:t>
      </w:r>
      <w:r w:rsidR="00091AD1">
        <w:t xml:space="preserve">The term </w:t>
      </w:r>
      <w:r w:rsidR="00BC390C">
        <w:t>‘heavenly Father’</w:t>
      </w:r>
      <w:r w:rsidR="00091AD1">
        <w:t xml:space="preserve"> frequently used by Jesus </w:t>
      </w:r>
      <w:r w:rsidR="00BC390C">
        <w:t>is a salient evidence</w:t>
      </w:r>
      <w:r w:rsidR="00091AD1">
        <w:t xml:space="preserve"> </w:t>
      </w:r>
      <w:r w:rsidR="00002C88">
        <w:t xml:space="preserve">to show </w:t>
      </w:r>
      <w:r w:rsidR="00091AD1">
        <w:t xml:space="preserve">that </w:t>
      </w:r>
      <w:r w:rsidR="00002C88">
        <w:t xml:space="preserve">how </w:t>
      </w:r>
      <w:r w:rsidR="00002C88">
        <w:t>the terms ‘father’ was created by Adam</w:t>
      </w:r>
      <w:r w:rsidR="00002C88">
        <w:t xml:space="preserve">, was perverted after the Fall, and was restored to its </w:t>
      </w:r>
      <w:r w:rsidR="00091AD1">
        <w:t xml:space="preserve">original contextual </w:t>
      </w:r>
      <w:r w:rsidR="00091AD1">
        <w:lastRenderedPageBreak/>
        <w:t>meanings</w:t>
      </w:r>
      <w:r w:rsidR="00BC390C">
        <w:t xml:space="preserve">. </w:t>
      </w:r>
      <w:r w:rsidR="003E00E0">
        <w:t>Such</w:t>
      </w:r>
      <w:r>
        <w:t xml:space="preserve"> idea do</w:t>
      </w:r>
      <w:r w:rsidR="003E00E0">
        <w:t>es</w:t>
      </w:r>
      <w:r>
        <w:t xml:space="preserve"> not contradict </w:t>
      </w:r>
      <w:r w:rsidR="003E00E0">
        <w:t xml:space="preserve">to </w:t>
      </w:r>
      <w:r>
        <w:t xml:space="preserve">but are compatible with all previous theories. </w:t>
      </w:r>
      <w:r w:rsidR="00091AD1">
        <w:tab/>
      </w:r>
      <w:r>
        <w:t xml:space="preserve">The quotation marks are not part of the strokes in the </w:t>
      </w:r>
      <w:r w:rsidR="00BC390C">
        <w:t xml:space="preserve">original Hebrew </w:t>
      </w:r>
      <w:r>
        <w:t>Scripture</w:t>
      </w:r>
      <w:r w:rsidR="00BC390C">
        <w:t>. Jesus said</w:t>
      </w:r>
      <w:r w:rsidR="00091AD1">
        <w:t>:</w:t>
      </w:r>
      <w:r w:rsidR="00BC390C">
        <w:t xml:space="preserve"> "I tell you the truth, until heaven and earth disappear, not the smallest letter, not the least stroke of a pen, will by any means disappear from the Law until everything is accomplished." (Mat5:18 NIV) </w:t>
      </w:r>
      <w:r w:rsidR="00091AD1">
        <w:t>Whether t</w:t>
      </w:r>
      <w:r>
        <w:t xml:space="preserve">he quotation problem </w:t>
      </w:r>
      <w:r w:rsidR="00091AD1">
        <w:t>should be used or not in any translation is</w:t>
      </w:r>
      <w:r>
        <w:t xml:space="preserv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46465570" w:rsidR="00F21557" w:rsidRDefault="00F21557">
      <w:pPr>
        <w:spacing w:line="480" w:lineRule="auto"/>
        <w:rPr>
          <w:b/>
          <w:bCs/>
        </w:rPr>
      </w:pPr>
      <w:r>
        <w:rPr>
          <w:b/>
          <w:bCs/>
        </w:rPr>
        <w:t xml:space="preserve">The </w:t>
      </w:r>
      <w:r w:rsidR="002A6C17">
        <w:rPr>
          <w:b/>
          <w:bCs/>
        </w:rPr>
        <w:t>Origin of the</w:t>
      </w:r>
      <w:r>
        <w:rPr>
          <w:b/>
          <w:bCs/>
        </w:rPr>
        <w:t xml:space="preserve"> Broken Human Family:</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498D67D9" w:rsidR="00F21557" w:rsidRDefault="00F21557">
      <w:pPr>
        <w:spacing w:line="480" w:lineRule="auto"/>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50D5D01D" w14:textId="2279DC67" w:rsidR="00C679AC" w:rsidRPr="00C679AC" w:rsidRDefault="00C679AC">
      <w:pPr>
        <w:spacing w:line="480" w:lineRule="auto"/>
        <w:rPr>
          <w:b/>
          <w:bCs/>
          <w:color w:val="000000"/>
          <w:shd w:val="clear" w:color="auto" w:fill="FFFFFF"/>
        </w:rPr>
      </w:pPr>
      <w:r w:rsidRPr="00C679AC">
        <w:rPr>
          <w:b/>
          <w:bCs/>
        </w:rPr>
        <w:t xml:space="preserve">The </w:t>
      </w:r>
      <w:r w:rsidR="002A6C17">
        <w:rPr>
          <w:b/>
          <w:bCs/>
        </w:rPr>
        <w:t>Origin of the</w:t>
      </w:r>
      <w:r w:rsidR="00742F69">
        <w:rPr>
          <w:b/>
          <w:bCs/>
        </w:rPr>
        <w:t xml:space="preserve"> </w:t>
      </w:r>
      <w:r w:rsidRPr="00C679AC">
        <w:rPr>
          <w:b/>
          <w:bCs/>
        </w:rPr>
        <w:t>Punishment:</w:t>
      </w:r>
    </w:p>
    <w:p w14:paraId="1D0A8E06" w14:textId="12D22E68" w:rsidR="00F21557" w:rsidRDefault="00C679AC">
      <w:pPr>
        <w:spacing w:line="480" w:lineRule="auto"/>
        <w:rPr>
          <w:color w:val="000000"/>
          <w:shd w:val="clear" w:color="auto" w:fill="FFFFFF"/>
        </w:rPr>
      </w:pPr>
      <w:r>
        <w:rPr>
          <w:color w:val="000000"/>
          <w:shd w:val="clear" w:color="auto" w:fill="FFFFFF"/>
        </w:rPr>
        <w:tab/>
      </w:r>
      <w:r w:rsidR="00FD3B6F">
        <w:rPr>
          <w:color w:val="000000"/>
          <w:shd w:val="clear" w:color="auto" w:fill="FFFFFF"/>
        </w:rPr>
        <w:t xml:space="preserve">Genesis 2:24 must be the word of Adam. </w:t>
      </w:r>
      <w:r>
        <w:rPr>
          <w:color w:val="000000"/>
          <w:shd w:val="clear" w:color="auto" w:fill="FFFFFF"/>
        </w:rPr>
        <w:t xml:space="preserve">The story in Genesis 3 clearly shows that it is Eve rather than Adam who listened </w:t>
      </w:r>
      <w:r w:rsidR="00E8630D">
        <w:rPr>
          <w:color w:val="000000"/>
          <w:shd w:val="clear" w:color="auto" w:fill="FFFFFF"/>
        </w:rPr>
        <w:t>to the Serpent to</w:t>
      </w:r>
      <w:r>
        <w:rPr>
          <w:color w:val="000000"/>
          <w:shd w:val="clear" w:color="auto" w:fill="FFFFFF"/>
        </w:rPr>
        <w:t xml:space="preserve"> </w:t>
      </w:r>
      <w:r w:rsidR="00E8630D">
        <w:rPr>
          <w:color w:val="000000"/>
          <w:shd w:val="clear" w:color="auto" w:fill="FFFFFF"/>
        </w:rPr>
        <w:t>eat</w:t>
      </w:r>
      <w:r>
        <w:rPr>
          <w:color w:val="000000"/>
          <w:shd w:val="clear" w:color="auto" w:fill="FFFFFF"/>
        </w:rPr>
        <w:t xml:space="preserve"> the forbidden fruits. But Adam</w:t>
      </w:r>
      <w:r w:rsidR="00F21557">
        <w:rPr>
          <w:color w:val="000000"/>
          <w:shd w:val="clear" w:color="auto" w:fill="FFFFFF"/>
        </w:rPr>
        <w:t xml:space="preserve"> </w:t>
      </w:r>
      <w:r>
        <w:rPr>
          <w:color w:val="000000"/>
          <w:shd w:val="clear" w:color="auto" w:fill="FFFFFF"/>
        </w:rPr>
        <w:t xml:space="preserve">was </w:t>
      </w:r>
      <w:r w:rsidR="00FD3B6F">
        <w:rPr>
          <w:color w:val="000000"/>
          <w:shd w:val="clear" w:color="auto" w:fill="FFFFFF"/>
        </w:rPr>
        <w:t>first questioned and blamed to lead to punishment</w:t>
      </w:r>
      <w:r>
        <w:rPr>
          <w:color w:val="000000"/>
          <w:shd w:val="clear" w:color="auto" w:fill="FFFFFF"/>
        </w:rPr>
        <w:t>.</w:t>
      </w:r>
      <w:r w:rsidR="00FD3B6F">
        <w:rPr>
          <w:color w:val="000000"/>
          <w:shd w:val="clear" w:color="auto" w:fill="FFFFFF"/>
        </w:rPr>
        <w:t xml:space="preserve"> If Genesis 2:24 is not the words of Adam, he was </w:t>
      </w:r>
      <w:r w:rsidR="00FD3B6F">
        <w:rPr>
          <w:color w:val="000000"/>
          <w:shd w:val="clear" w:color="auto" w:fill="FFFFFF"/>
        </w:rPr>
        <w:lastRenderedPageBreak/>
        <w:t>not responsible for the fall. Adam did not need to argue to the Lord</w:t>
      </w:r>
      <w:r w:rsidR="00742F69">
        <w:rPr>
          <w:color w:val="000000"/>
          <w:shd w:val="clear" w:color="auto" w:fill="FFFFFF"/>
        </w:rPr>
        <w:t xml:space="preserve"> if he did not ever say that he w</w:t>
      </w:r>
      <w:r w:rsidR="002A6C17">
        <w:rPr>
          <w:color w:val="000000"/>
          <w:shd w:val="clear" w:color="auto" w:fill="FFFFFF"/>
        </w:rPr>
        <w:t>ou</w:t>
      </w:r>
      <w:r w:rsidR="00742F69">
        <w:rPr>
          <w:color w:val="000000"/>
          <w:shd w:val="clear" w:color="auto" w:fill="FFFFFF"/>
        </w:rPr>
        <w:t>l</w:t>
      </w:r>
      <w:r w:rsidR="002A6C17">
        <w:rPr>
          <w:color w:val="000000"/>
          <w:shd w:val="clear" w:color="auto" w:fill="FFFFFF"/>
        </w:rPr>
        <w:t>d</w:t>
      </w:r>
      <w:r w:rsidR="00742F69">
        <w:rPr>
          <w:color w:val="000000"/>
          <w:shd w:val="clear" w:color="auto" w:fill="FFFFFF"/>
        </w:rPr>
        <w:t xml:space="preserve"> cling to the women to be united as one. </w:t>
      </w:r>
      <w:r w:rsidR="002A6C17">
        <w:rPr>
          <w:color w:val="000000"/>
          <w:shd w:val="clear" w:color="auto" w:fill="FFFFFF"/>
        </w:rPr>
        <w:t>God would not punish him if he did not know it.</w:t>
      </w:r>
    </w:p>
    <w:p w14:paraId="1D90386D" w14:textId="77777777" w:rsidR="00FD3B6F" w:rsidRDefault="00FD3B6F">
      <w:pPr>
        <w:spacing w:line="480" w:lineRule="auto"/>
        <w:rPr>
          <w:color w:val="000000"/>
          <w:shd w:val="clear" w:color="auto" w:fill="FFFFFF"/>
        </w:rPr>
      </w:pPr>
    </w:p>
    <w:p w14:paraId="38F74995" w14:textId="77777777" w:rsidR="00F21557" w:rsidRPr="00FD3B6F" w:rsidRDefault="00F21557">
      <w:pPr>
        <w:spacing w:line="480" w:lineRule="auto"/>
        <w:rPr>
          <w:b/>
          <w:bCs/>
          <w:color w:val="000000"/>
          <w:shd w:val="clear" w:color="auto" w:fill="FFFFFF"/>
        </w:rPr>
      </w:pPr>
      <w:r w:rsidRPr="00FD3B6F">
        <w:rPr>
          <w:b/>
          <w:bCs/>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lastRenderedPageBreak/>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(Luk3:38 NIV) In another word, Adam and Eve are not orphans, and they have a parent who was 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w:t>
      </w:r>
      <w:r>
        <w:lastRenderedPageBreak/>
        <w:t xml:space="preserve">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lastRenderedPageBreak/>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xml:space="preserve">, a significant difference between Genesis 1 and Genesis 2 is that Genesis 1 uses the single word ‘Elohim’ to refer to God, whereas in Genesis 2-3, talking about the Adam and </w:t>
      </w:r>
      <w:r>
        <w:rPr>
          <w:color w:val="000000"/>
          <w:shd w:val="clear" w:color="auto" w:fill="FFFFFF"/>
        </w:rPr>
        <w:lastRenderedPageBreak/>
        <w:t>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husband and 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w:t>
      </w:r>
      <w:r>
        <w:rPr>
          <w:color w:val="000000"/>
          <w:shd w:val="clear" w:color="auto" w:fill="FFFFFF"/>
        </w:rPr>
        <w:lastRenderedPageBreak/>
        <w:t xml:space="preserve">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w:t>
      </w:r>
      <w:r>
        <w:lastRenderedPageBreak/>
        <w:t xml:space="preserve">after the Fall (Gen3:20) which implied ‘mother of all living.’ There are at least three most 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lastRenderedPageBreak/>
        <w:tab/>
      </w:r>
      <w:r>
        <w:br/>
        <w:t xml:space="preserve"> </w:t>
      </w:r>
      <w:r>
        <w:rPr>
          <w:b/>
          <w:bCs/>
        </w:rPr>
        <w:t>E. ‘Father and Mother’ : Adam’s Right and Capability from God</w:t>
      </w:r>
    </w:p>
    <w:p w14:paraId="04E60954" w14:textId="77777777" w:rsidR="00F21557" w:rsidRDefault="00F21557">
      <w:pPr>
        <w:spacing w:line="480" w:lineRule="auto"/>
      </w:pPr>
      <w:r>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 xml:space="preserve">It’s not hard to find that Adam’s speech (Gen2:23) was inspired by God. Genesis 2:21 shows that when God was creating Eve, Adam was asleep. Without the inspiration or instruction of God, Adam was not able to say that the woman was from his ribs and flesh (2:23). Likewise, </w:t>
      </w:r>
      <w:r>
        <w:lastRenderedPageBreak/>
        <w:t>without the inspiration or instruction of God, Adam was not able to say his father and mother (2:24).</w:t>
      </w:r>
      <w:r>
        <w:br/>
      </w:r>
      <w:r>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lastRenderedPageBreak/>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w:t>
      </w:r>
      <w:r>
        <w:lastRenderedPageBreak/>
        <w:t xml:space="preserve">(his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w:t>
      </w:r>
      <w:r>
        <w:lastRenderedPageBreak/>
        <w:t xml:space="preserve">between God and man, the initial version of the Mosaic familial law and constitution, the first 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CB082" w14:textId="77777777" w:rsidR="00582A3E" w:rsidRDefault="00582A3E">
      <w:r>
        <w:separator/>
      </w:r>
    </w:p>
  </w:endnote>
  <w:endnote w:type="continuationSeparator" w:id="0">
    <w:p w14:paraId="2A4988C5" w14:textId="77777777" w:rsidR="00582A3E" w:rsidRDefault="0058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FB869" w14:textId="77777777" w:rsidR="00582A3E" w:rsidRDefault="00582A3E">
      <w:r>
        <w:separator/>
      </w:r>
    </w:p>
  </w:footnote>
  <w:footnote w:type="continuationSeparator" w:id="0">
    <w:p w14:paraId="04D3CEDF" w14:textId="77777777" w:rsidR="00582A3E" w:rsidRDefault="00582A3E">
      <w:r>
        <w:continuationSeparator/>
      </w:r>
    </w:p>
  </w:footnote>
  <w:footnote w:id="1">
    <w:p w14:paraId="704A8A87" w14:textId="77777777" w:rsidR="00091AD1" w:rsidRDefault="00091AD1">
      <w:pPr>
        <w:pStyle w:val="FootnoteText"/>
        <w:ind w:firstLine="720"/>
      </w:pPr>
      <w:r>
        <w:rPr>
          <w:rStyle w:val="FootnoteReference"/>
        </w:rPr>
        <w:footnoteRef/>
      </w:r>
      <w:r>
        <w:t xml:space="preserve"> Douglas C. McMurtrie. </w:t>
      </w:r>
      <w:r>
        <w:rPr>
          <w:i/>
          <w:iCs/>
        </w:rPr>
        <w:t>Concerning Quotation Marks</w:t>
      </w:r>
      <w:r>
        <w:t>. New York: Private Printed, 1934.</w:t>
      </w:r>
    </w:p>
    <w:p w14:paraId="76B15F31" w14:textId="77777777" w:rsidR="00091AD1" w:rsidRDefault="00091AD1">
      <w:pPr>
        <w:pStyle w:val="FootnoteText"/>
        <w:ind w:firstLine="720"/>
      </w:pPr>
    </w:p>
  </w:footnote>
  <w:footnote w:id="2">
    <w:p w14:paraId="0D9DC846" w14:textId="77777777" w:rsidR="00091AD1" w:rsidRDefault="00091AD1">
      <w:pPr>
        <w:pStyle w:val="FootnoteText"/>
        <w:ind w:firstLine="720"/>
      </w:pPr>
      <w:r>
        <w:rPr>
          <w:rStyle w:val="FootnoteReference"/>
        </w:rPr>
        <w:footnoteRef/>
      </w:r>
      <w:r>
        <w:t xml:space="preserve"> S. D. </w:t>
      </w:r>
      <w:r>
        <w:t>Giere. </w:t>
      </w:r>
      <w:r>
        <w:rPr>
          <w:i/>
          <w:iCs/>
        </w:rPr>
        <w:t>A New Glimpse of Day One : Intertextuality, History of Interpretation, and Genesis 1. 1-5</w:t>
      </w:r>
      <w:r>
        <w:t>. Ed. by S. D. Giere. New York: Walter De Gruyter, 2009.</w:t>
      </w:r>
    </w:p>
    <w:p w14:paraId="7918E770" w14:textId="77777777" w:rsidR="00091AD1" w:rsidRDefault="00091AD1">
      <w:pPr>
        <w:pStyle w:val="FootnoteText"/>
      </w:pPr>
    </w:p>
  </w:footnote>
  <w:footnote w:id="3">
    <w:p w14:paraId="4B73B4DD" w14:textId="77777777" w:rsidR="00091AD1" w:rsidRDefault="00091AD1">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091AD1" w:rsidRDefault="00091AD1">
      <w:pPr>
        <w:pStyle w:val="FootnoteText"/>
        <w:ind w:firstLine="720"/>
      </w:pPr>
    </w:p>
  </w:footnote>
  <w:footnote w:id="4">
    <w:p w14:paraId="442B7F78" w14:textId="77777777" w:rsidR="00091AD1" w:rsidRDefault="00091AD1">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091AD1" w:rsidRDefault="00091AD1">
      <w:pPr>
        <w:pStyle w:val="FootnoteText"/>
        <w:ind w:firstLine="720"/>
      </w:pPr>
    </w:p>
  </w:footnote>
  <w:footnote w:id="5">
    <w:p w14:paraId="6BD5D7A2" w14:textId="77777777" w:rsidR="00091AD1" w:rsidRDefault="00091AD1">
      <w:pPr>
        <w:pStyle w:val="FootnoteText"/>
        <w:ind w:firstLine="720"/>
      </w:pPr>
      <w:r>
        <w:rPr>
          <w:rStyle w:val="FootnoteReference"/>
        </w:rPr>
        <w:footnoteRef/>
      </w:r>
      <w:r>
        <w:t xml:space="preserve"> Angelo </w:t>
      </w:r>
      <w:r>
        <w:t xml:space="preserve">Tosato, "On Genesis 2:24" In: </w:t>
      </w:r>
      <w:r>
        <w:rPr>
          <w:i/>
          <w:iCs/>
        </w:rPr>
        <w:t>Catholic Biblical Quarterly</w:t>
      </w:r>
      <w:r>
        <w:t>. Vol. 52 Issue 3 (Jul 1990) p389</w:t>
      </w:r>
    </w:p>
  </w:footnote>
  <w:footnote w:id="6">
    <w:p w14:paraId="05BE54DF" w14:textId="77777777" w:rsidR="00091AD1" w:rsidRDefault="00091AD1">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091AD1" w:rsidRDefault="00091AD1">
      <w:pPr>
        <w:pStyle w:val="FootnoteText"/>
        <w:ind w:firstLine="720"/>
      </w:pPr>
    </w:p>
  </w:footnote>
  <w:footnote w:id="7">
    <w:p w14:paraId="04BFF2FC"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091AD1" w:rsidRDefault="00091AD1">
      <w:pPr>
        <w:pStyle w:val="FootnoteText"/>
        <w:ind w:firstLine="720"/>
      </w:pPr>
    </w:p>
  </w:footnote>
  <w:footnote w:id="8">
    <w:p w14:paraId="77B3FD20" w14:textId="77777777" w:rsidR="00091AD1" w:rsidRDefault="00091AD1">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091AD1" w:rsidRDefault="00091AD1">
      <w:pPr>
        <w:pStyle w:val="FootnoteText"/>
        <w:ind w:firstLine="720"/>
      </w:pPr>
    </w:p>
  </w:footnote>
  <w:footnote w:id="9">
    <w:p w14:paraId="3516C3D1"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xml:space="preserve">. </w:t>
      </w:r>
      <w:r>
        <w:t>N.p., 1905.</w:t>
      </w:r>
    </w:p>
    <w:p w14:paraId="4562F6DA" w14:textId="77777777" w:rsidR="00091AD1" w:rsidRDefault="00091AD1">
      <w:pPr>
        <w:pStyle w:val="FootnoteText"/>
        <w:ind w:firstLine="720"/>
      </w:pPr>
    </w:p>
  </w:footnote>
  <w:footnote w:id="10">
    <w:p w14:paraId="00A4DF71" w14:textId="77777777" w:rsidR="00091AD1" w:rsidRDefault="00091AD1">
      <w:pPr>
        <w:pStyle w:val="FootnoteText"/>
        <w:ind w:firstLine="720"/>
      </w:pPr>
      <w:r>
        <w:rPr>
          <w:rStyle w:val="FootnoteReference"/>
        </w:rPr>
        <w:footnoteRef/>
      </w:r>
      <w:r>
        <w:t xml:space="preserve"> H. D. M. Spence and ‎Joseph S. </w:t>
      </w:r>
      <w:r>
        <w:t xml:space="preserve">Exell.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091AD1" w:rsidRDefault="00091AD1">
      <w:pPr>
        <w:pStyle w:val="FootnoteText"/>
        <w:ind w:firstLine="720"/>
      </w:pPr>
    </w:p>
  </w:footnote>
  <w:footnote w:id="11">
    <w:p w14:paraId="766B9930" w14:textId="77777777" w:rsidR="00091AD1" w:rsidRDefault="00091AD1">
      <w:pPr>
        <w:pStyle w:val="FootnoteText"/>
        <w:ind w:firstLine="720"/>
      </w:pPr>
      <w:r>
        <w:rPr>
          <w:rStyle w:val="FootnoteReference"/>
        </w:rPr>
        <w:footnoteRef/>
      </w:r>
      <w:r>
        <w:t xml:space="preserve"> Charles John Ellicott. </w:t>
      </w:r>
      <w:r>
        <w:rPr>
          <w:i/>
          <w:iCs/>
        </w:rPr>
        <w:t>Ellicott's Commentary for English Readers</w:t>
      </w:r>
      <w:r>
        <w:t xml:space="preserve">. </w:t>
      </w:r>
      <w:r>
        <w:t>N.p., 1905.</w:t>
      </w:r>
    </w:p>
    <w:p w14:paraId="18E0B483" w14:textId="77777777" w:rsidR="00091AD1" w:rsidRDefault="00091AD1">
      <w:pPr>
        <w:pStyle w:val="FootnoteText"/>
        <w:ind w:firstLine="720"/>
      </w:pPr>
    </w:p>
  </w:footnote>
  <w:footnote w:id="12">
    <w:p w14:paraId="7F79B29E" w14:textId="77777777" w:rsidR="00091AD1" w:rsidRDefault="00091AD1">
      <w:pPr>
        <w:pStyle w:val="FootnoteText"/>
        <w:ind w:firstLine="720"/>
      </w:pPr>
      <w:r>
        <w:rPr>
          <w:rStyle w:val="FootnoteReference"/>
        </w:rPr>
        <w:footnoteRef/>
      </w:r>
      <w:r>
        <w:t xml:space="preserve"> John </w:t>
      </w:r>
      <w:r>
        <w:t xml:space="preserve">Perowne.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091AD1" w:rsidRDefault="00091AD1">
      <w:pPr>
        <w:pStyle w:val="FootnoteText"/>
        <w:ind w:firstLine="720"/>
      </w:pPr>
    </w:p>
  </w:footnote>
  <w:footnote w:id="13">
    <w:p w14:paraId="270FD5A0" w14:textId="77777777" w:rsidR="00091AD1" w:rsidRDefault="00091AD1">
      <w:pPr>
        <w:pStyle w:val="FootnoteText"/>
        <w:ind w:firstLine="720"/>
      </w:pPr>
      <w:r>
        <w:rPr>
          <w:rStyle w:val="FootnoteReference"/>
        </w:rPr>
        <w:footnoteRef/>
      </w:r>
      <w:r>
        <w:t xml:space="preserve"> Albert Barnes. </w:t>
      </w:r>
      <w:r>
        <w:rPr>
          <w:i/>
          <w:iCs/>
        </w:rPr>
        <w:t>Barnes' Notes on the Bible</w:t>
      </w:r>
      <w:r>
        <w:t xml:space="preserve">. </w:t>
      </w:r>
      <w:r>
        <w:t xml:space="preserve">N.p., 1870. </w:t>
      </w:r>
      <w:hyperlink r:id="rId4" w:history="1">
        <w:r>
          <w:rPr>
            <w:rStyle w:val="Hyperlink"/>
          </w:rPr>
          <w:t>https://biblehub.com/commentaries/genesis/2-24.htm</w:t>
        </w:r>
      </w:hyperlink>
      <w:r>
        <w:t>.</w:t>
      </w:r>
    </w:p>
    <w:p w14:paraId="25832F92" w14:textId="77777777" w:rsidR="00091AD1" w:rsidRDefault="00091AD1">
      <w:pPr>
        <w:pStyle w:val="FootnoteText"/>
        <w:ind w:firstLine="720"/>
      </w:pPr>
    </w:p>
  </w:footnote>
  <w:footnote w:id="14">
    <w:p w14:paraId="34C4C2B7" w14:textId="77777777" w:rsidR="00091AD1" w:rsidRDefault="00091AD1">
      <w:pPr>
        <w:pStyle w:val="FootnoteText"/>
        <w:ind w:firstLine="720"/>
      </w:pPr>
      <w:r>
        <w:rPr>
          <w:rStyle w:val="FootnoteReference"/>
        </w:rPr>
        <w:footnoteRef/>
      </w:r>
      <w:r>
        <w:t xml:space="preserve"> Angelo </w:t>
      </w:r>
      <w:r>
        <w:t xml:space="preserve">Tosato, "On Genesis 2:24" In: </w:t>
      </w:r>
      <w:r>
        <w:rPr>
          <w:i/>
          <w:iCs/>
        </w:rPr>
        <w:t>Catholic Biblical Quarterly</w:t>
      </w:r>
      <w:r>
        <w:t>. Vol. 52 Issue 3 (Jul 1990) p389</w:t>
      </w:r>
    </w:p>
  </w:footnote>
  <w:footnote w:id="15">
    <w:p w14:paraId="7B6EB5AD" w14:textId="77777777" w:rsidR="00091AD1" w:rsidRDefault="00091AD1">
      <w:pPr>
        <w:pStyle w:val="FootnoteText"/>
        <w:ind w:firstLine="720"/>
      </w:pPr>
      <w:r>
        <w:rPr>
          <w:rStyle w:val="FootnoteReference"/>
        </w:rPr>
        <w:footnoteRef/>
      </w:r>
      <w:r>
        <w:t xml:space="preserve"> Angelo </w:t>
      </w:r>
      <w:r>
        <w:t xml:space="preserve">Tosato, "On Genesis 2:24" In: </w:t>
      </w:r>
      <w:r>
        <w:rPr>
          <w:i/>
          <w:iCs/>
        </w:rPr>
        <w:t>Catholic Biblical Quarterly.</w:t>
      </w:r>
      <w:r>
        <w:t xml:space="preserve"> Vol. 52 Issue 3 (Jul 1990) p391.</w:t>
      </w:r>
    </w:p>
    <w:p w14:paraId="613CADD3" w14:textId="77777777" w:rsidR="00091AD1" w:rsidRDefault="00091AD1">
      <w:pPr>
        <w:pStyle w:val="FootnoteText"/>
        <w:ind w:firstLine="720"/>
      </w:pPr>
    </w:p>
  </w:footnote>
  <w:footnote w:id="16">
    <w:p w14:paraId="6FE55AC8" w14:textId="77777777" w:rsidR="00091AD1" w:rsidRDefault="00091AD1">
      <w:pPr>
        <w:pStyle w:val="FootnoteText"/>
        <w:ind w:firstLine="720"/>
      </w:pPr>
      <w:r>
        <w:rPr>
          <w:rStyle w:val="FootnoteReference"/>
        </w:rPr>
        <w:footnoteRef/>
      </w:r>
      <w:r>
        <w:t xml:space="preserve"> Matthew Henry. </w:t>
      </w:r>
      <w:r>
        <w:rPr>
          <w:i/>
          <w:iCs/>
        </w:rPr>
        <w:t>Matthew Henry's Concise Commentary</w:t>
      </w:r>
      <w:r>
        <w:t xml:space="preserve">. </w:t>
      </w:r>
      <w:r>
        <w:t>N.p., 1714.</w:t>
      </w:r>
    </w:p>
    <w:p w14:paraId="4CD89069" w14:textId="77777777" w:rsidR="00091AD1" w:rsidRDefault="00091AD1">
      <w:pPr>
        <w:pStyle w:val="FootnoteText"/>
        <w:ind w:firstLine="720"/>
      </w:pPr>
    </w:p>
  </w:footnote>
  <w:footnote w:id="17">
    <w:p w14:paraId="2B28D966" w14:textId="77777777" w:rsidR="00091AD1" w:rsidRDefault="00091AD1">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r>
        <w:t xml:space="preserve">N.p., 1871. </w:t>
      </w:r>
      <w:hyperlink r:id="rId5" w:history="1">
        <w:r>
          <w:rPr>
            <w:rStyle w:val="Hyperlink"/>
          </w:rPr>
          <w:t>https://biblehub.com/commentaries/genesis/2-24.htm</w:t>
        </w:r>
      </w:hyperlink>
      <w:r>
        <w:t>.</w:t>
      </w:r>
    </w:p>
    <w:p w14:paraId="5928DBF2" w14:textId="77777777" w:rsidR="00091AD1" w:rsidRDefault="00091AD1">
      <w:pPr>
        <w:pStyle w:val="FootnoteText"/>
        <w:ind w:firstLine="720"/>
      </w:pPr>
    </w:p>
  </w:footnote>
  <w:footnote w:id="18">
    <w:p w14:paraId="0F8AAE1B" w14:textId="77777777" w:rsidR="00091AD1" w:rsidRDefault="00091AD1">
      <w:pPr>
        <w:pStyle w:val="FootnoteText"/>
        <w:ind w:firstLine="720"/>
      </w:pPr>
      <w:r>
        <w:rPr>
          <w:rStyle w:val="FootnoteReference"/>
        </w:rPr>
        <w:footnoteRef/>
      </w:r>
      <w:r>
        <w:t xml:space="preserve"> Albert Barnes. </w:t>
      </w:r>
      <w:r>
        <w:rPr>
          <w:i/>
          <w:iCs/>
        </w:rPr>
        <w:t>Barnes' Notes on the Bible</w:t>
      </w:r>
      <w:r>
        <w:t xml:space="preserve">. </w:t>
      </w:r>
      <w:r>
        <w:t>N.p., 1870. https://biblehub.com/commentaries/genesis/2-24.htm.</w:t>
      </w:r>
    </w:p>
  </w:footnote>
  <w:footnote w:id="19">
    <w:p w14:paraId="5645F775" w14:textId="77777777" w:rsidR="00091AD1" w:rsidRDefault="00091AD1">
      <w:pPr>
        <w:pStyle w:val="FootnoteText"/>
        <w:ind w:firstLine="720"/>
      </w:pPr>
      <w:r>
        <w:rPr>
          <w:rStyle w:val="FootnoteReference"/>
        </w:rPr>
        <w:footnoteRef/>
      </w:r>
      <w:r>
        <w:t xml:space="preserve"> H. D. M. Spence and ‎Joseph S. </w:t>
      </w:r>
      <w:r>
        <w:t xml:space="preserve">Exell.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091AD1" w:rsidRDefault="00091AD1">
      <w:pPr>
        <w:pStyle w:val="FootnoteText"/>
        <w:ind w:firstLine="720"/>
      </w:pPr>
    </w:p>
  </w:footnote>
  <w:footnote w:id="20">
    <w:p w14:paraId="254A0705" w14:textId="77777777" w:rsidR="00091AD1" w:rsidRDefault="00091AD1">
      <w:pPr>
        <w:pStyle w:val="FootnoteText"/>
        <w:ind w:firstLine="720"/>
      </w:pPr>
      <w:r>
        <w:rPr>
          <w:rStyle w:val="FootnoteReference"/>
        </w:rPr>
        <w:footnoteRef/>
      </w:r>
      <w:r>
        <w:t xml:space="preserve"> John </w:t>
      </w:r>
      <w:r>
        <w:t xml:space="preserve">Perowne. </w:t>
      </w:r>
      <w:r>
        <w:rPr>
          <w:i/>
          <w:iCs/>
        </w:rPr>
        <w:t>Cambridge Bible for Schools and Colleges</w:t>
      </w:r>
      <w:r>
        <w:t>. UK: Cambridge University Press, 1882. https://biblehub.com/commentaries/genesis/2-24.htm.</w:t>
      </w:r>
    </w:p>
  </w:footnote>
  <w:footnote w:id="21">
    <w:p w14:paraId="23FC23E8" w14:textId="77777777" w:rsidR="00091AD1" w:rsidRDefault="00091AD1">
      <w:pPr>
        <w:pStyle w:val="FootnoteText"/>
        <w:ind w:firstLine="720"/>
      </w:pPr>
      <w:r>
        <w:rPr>
          <w:rStyle w:val="FootnoteReference"/>
        </w:rPr>
        <w:footnoteRef/>
      </w:r>
      <w:r>
        <w:t xml:space="preserve"> </w:t>
      </w:r>
      <w:r>
        <w:t xml:space="preserve">Ziony Zevit. </w:t>
      </w:r>
      <w:r>
        <w:rPr>
          <w:i/>
          <w:iCs/>
        </w:rPr>
        <w:t>What Really Happened in the Garden of Eden?</w:t>
      </w:r>
      <w:r>
        <w:t>. London, UK: Yale University Press, 2013</w:t>
      </w:r>
    </w:p>
    <w:p w14:paraId="1AFA5400" w14:textId="77777777" w:rsidR="00091AD1" w:rsidRDefault="00091AD1">
      <w:pPr>
        <w:pStyle w:val="FootnoteText"/>
        <w:ind w:firstLine="720"/>
      </w:pPr>
    </w:p>
  </w:footnote>
  <w:footnote w:id="22">
    <w:p w14:paraId="107539E0" w14:textId="77777777" w:rsidR="00091AD1" w:rsidRDefault="00091AD1">
      <w:pPr>
        <w:pStyle w:val="FootnoteText"/>
        <w:ind w:firstLine="720"/>
      </w:pPr>
      <w:r>
        <w:rPr>
          <w:rStyle w:val="FootnoteReference"/>
        </w:rPr>
        <w:footnoteRef/>
      </w:r>
      <w:r>
        <w:t xml:space="preserve"> Matthew Poole. </w:t>
      </w:r>
      <w:r>
        <w:rPr>
          <w:i/>
          <w:iCs/>
        </w:rPr>
        <w:t>Matthew Poole's Commentary</w:t>
      </w:r>
      <w:r>
        <w:t xml:space="preserve">. </w:t>
      </w:r>
      <w:r>
        <w:t xml:space="preserve">N.p., 1679. </w:t>
      </w:r>
      <w:hyperlink r:id="rId7" w:history="1">
        <w:r>
          <w:rPr>
            <w:rStyle w:val="Hyperlink"/>
          </w:rPr>
          <w:t>https://biblehub.com/commentaries/genesis/2-24.htm</w:t>
        </w:r>
      </w:hyperlink>
      <w:r>
        <w:t>.</w:t>
      </w:r>
    </w:p>
    <w:p w14:paraId="7C3A10DA" w14:textId="77777777" w:rsidR="00091AD1" w:rsidRDefault="00091AD1">
      <w:pPr>
        <w:pStyle w:val="FootnoteText"/>
        <w:ind w:firstLine="720"/>
      </w:pPr>
    </w:p>
  </w:footnote>
  <w:footnote w:id="23">
    <w:p w14:paraId="5AA56A2A" w14:textId="77777777" w:rsidR="00091AD1" w:rsidRDefault="00091AD1">
      <w:pPr>
        <w:pStyle w:val="FootnoteText"/>
        <w:ind w:firstLine="720"/>
      </w:pPr>
      <w:r>
        <w:rPr>
          <w:rStyle w:val="FootnoteReference"/>
        </w:rPr>
        <w:footnoteRef/>
      </w:r>
      <w:r>
        <w:t xml:space="preserve"> Joseph Benson. </w:t>
      </w:r>
      <w:r>
        <w:rPr>
          <w:i/>
          <w:iCs/>
        </w:rPr>
        <w:t>Benson Commentary</w:t>
      </w:r>
      <w:r>
        <w:t xml:space="preserve">. </w:t>
      </w:r>
      <w:r>
        <w:t xml:space="preserve">N.p., 1821. </w:t>
      </w:r>
      <w:hyperlink r:id="rId8" w:history="1">
        <w:r>
          <w:rPr>
            <w:rStyle w:val="Hyperlink"/>
          </w:rPr>
          <w:t>https://biblehub.com/commentaries/genesis/2-24.htm</w:t>
        </w:r>
      </w:hyperlink>
      <w:r>
        <w:t>.</w:t>
      </w:r>
    </w:p>
    <w:p w14:paraId="16E6A78D" w14:textId="77777777" w:rsidR="00091AD1" w:rsidRDefault="00091AD1">
      <w:pPr>
        <w:pStyle w:val="FootnoteText"/>
        <w:ind w:firstLine="720"/>
      </w:pPr>
    </w:p>
  </w:footnote>
  <w:footnote w:id="24">
    <w:p w14:paraId="29B67AFB" w14:textId="77777777" w:rsidR="00091AD1" w:rsidRDefault="00091AD1">
      <w:pPr>
        <w:pStyle w:val="FootnoteText"/>
        <w:ind w:firstLine="720"/>
      </w:pPr>
      <w:r>
        <w:rPr>
          <w:rStyle w:val="FootnoteReference"/>
        </w:rPr>
        <w:footnoteRef/>
      </w:r>
      <w:r>
        <w:t xml:space="preserve"> John Gill. </w:t>
      </w:r>
      <w:r>
        <w:rPr>
          <w:i/>
          <w:iCs/>
        </w:rPr>
        <w:t>Gill's Exposition of the Entire Bible</w:t>
      </w:r>
      <w:r>
        <w:t xml:space="preserve">. </w:t>
      </w:r>
      <w:r>
        <w:t>N.p., 1771.</w:t>
      </w:r>
    </w:p>
    <w:p w14:paraId="5898AFD8" w14:textId="77777777" w:rsidR="00091AD1" w:rsidRDefault="00091AD1">
      <w:pPr>
        <w:pStyle w:val="FootnoteText"/>
        <w:ind w:firstLine="720"/>
      </w:pPr>
    </w:p>
  </w:footnote>
  <w:footnote w:id="25">
    <w:p w14:paraId="749EE84D" w14:textId="77777777" w:rsidR="00091AD1" w:rsidRDefault="00091AD1">
      <w:pPr>
        <w:pStyle w:val="FootnoteText"/>
        <w:ind w:firstLine="720"/>
      </w:pPr>
      <w:r>
        <w:rPr>
          <w:rStyle w:val="FootnoteReference"/>
        </w:rPr>
        <w:footnoteRef/>
      </w:r>
      <w:r>
        <w:t xml:space="preserve"> </w:t>
      </w:r>
      <w:r>
        <w:t xml:space="preserve">Ziony Zevit. </w:t>
      </w:r>
      <w:r>
        <w:rPr>
          <w:i/>
          <w:iCs/>
        </w:rPr>
        <w:t>What Really Happened in the Garden of Eden?</w:t>
      </w:r>
      <w:r>
        <w:t>. London, UK: Yale University Press, 2013.</w:t>
      </w:r>
    </w:p>
    <w:p w14:paraId="0F42D553" w14:textId="77777777" w:rsidR="00091AD1" w:rsidRDefault="00091AD1">
      <w:pPr>
        <w:pStyle w:val="FootnoteText"/>
        <w:ind w:firstLine="720"/>
      </w:pPr>
    </w:p>
  </w:footnote>
  <w:footnote w:id="26">
    <w:p w14:paraId="11FE94AA" w14:textId="77777777" w:rsidR="00091AD1" w:rsidRDefault="00091AD1">
      <w:pPr>
        <w:pStyle w:val="FootnoteText"/>
        <w:ind w:firstLine="720"/>
      </w:pPr>
      <w:r>
        <w:rPr>
          <w:rStyle w:val="FootnoteReference"/>
        </w:rPr>
        <w:footnoteRef/>
      </w:r>
      <w:r>
        <w:t xml:space="preserve"> Holmes Welch. </w:t>
      </w:r>
      <w:r>
        <w:rPr>
          <w:i/>
          <w:iCs/>
        </w:rPr>
        <w:t>Taoism: The Parting of the Way</w:t>
      </w:r>
      <w:r>
        <w:t xml:space="preserve">. </w:t>
      </w:r>
      <w:r>
        <w:t>N.p., 1957.</w:t>
      </w:r>
    </w:p>
    <w:p w14:paraId="6E9A0A7B" w14:textId="77777777" w:rsidR="00091AD1" w:rsidRDefault="00091AD1">
      <w:pPr>
        <w:pStyle w:val="FootnoteText"/>
      </w:pPr>
    </w:p>
  </w:footnote>
  <w:footnote w:id="27">
    <w:p w14:paraId="269110E3"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091AD1" w:rsidRDefault="00091AD1">
      <w:pPr>
        <w:pStyle w:val="FootnoteText"/>
        <w:ind w:firstLine="720"/>
      </w:pPr>
    </w:p>
  </w:footnote>
  <w:footnote w:id="28">
    <w:p w14:paraId="3F9245FA" w14:textId="77777777" w:rsidR="00091AD1" w:rsidRDefault="00091AD1">
      <w:pPr>
        <w:pStyle w:val="FootnoteText"/>
        <w:ind w:firstLine="720"/>
      </w:pPr>
      <w:r>
        <w:rPr>
          <w:rStyle w:val="FootnoteReference"/>
        </w:rPr>
        <w:footnoteRef/>
      </w:r>
      <w:r>
        <w:t xml:space="preserve"> Angelo </w:t>
      </w:r>
      <w:r>
        <w:t>Tosato, "On Genesis 2:24" In: </w:t>
      </w:r>
      <w:r>
        <w:rPr>
          <w:i/>
          <w:iCs/>
        </w:rPr>
        <w:t>Catholic Biblical Quarterly</w:t>
      </w:r>
      <w:r>
        <w:t> Vol. 52 Issue 3 (Jul 1990) p389</w:t>
      </w:r>
    </w:p>
    <w:p w14:paraId="699351EC" w14:textId="77777777" w:rsidR="00091AD1" w:rsidRDefault="00091AD1">
      <w:pPr>
        <w:pStyle w:val="FootnoteText"/>
        <w:ind w:firstLine="720"/>
      </w:pPr>
    </w:p>
  </w:footnote>
  <w:footnote w:id="29">
    <w:p w14:paraId="53BABD39" w14:textId="77777777" w:rsidR="00091AD1" w:rsidRDefault="00091AD1">
      <w:pPr>
        <w:pStyle w:val="FootnoteText"/>
        <w:ind w:firstLine="720"/>
      </w:pPr>
      <w:r>
        <w:rPr>
          <w:rStyle w:val="FootnoteReference"/>
        </w:rPr>
        <w:footnoteRef/>
      </w:r>
      <w:r>
        <w:t xml:space="preserve"> Fabre </w:t>
      </w:r>
      <w:r>
        <w:t>d'Olive. </w:t>
      </w:r>
      <w:r>
        <w:rPr>
          <w:i/>
          <w:iCs/>
        </w:rPr>
        <w:t>The Hebraic Tongue Restored: And the True Meaning of the Hebrew Words Re-established and Proved by their Radical Analysis</w:t>
      </w:r>
      <w:r>
        <w:t>. New York and London: The Rnicherbocker Press, 1921. p120.</w:t>
      </w:r>
    </w:p>
    <w:p w14:paraId="3DFA2287" w14:textId="77777777" w:rsidR="00091AD1" w:rsidRDefault="00091AD1">
      <w:pPr>
        <w:pStyle w:val="FootnoteText"/>
        <w:ind w:firstLine="720"/>
      </w:pPr>
    </w:p>
  </w:footnote>
  <w:footnote w:id="30">
    <w:p w14:paraId="400B6152"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091AD1" w:rsidRDefault="00091AD1">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091AD1" w:rsidRDefault="00091AD1">
      <w:pPr>
        <w:pStyle w:val="FootnoteText"/>
        <w:ind w:firstLine="720"/>
      </w:pPr>
    </w:p>
  </w:footnote>
  <w:footnote w:id="33">
    <w:p w14:paraId="50CE7D6B" w14:textId="77777777" w:rsidR="00091AD1" w:rsidRDefault="00091AD1">
      <w:pPr>
        <w:pStyle w:val="FootnoteText"/>
        <w:ind w:firstLine="720"/>
      </w:pPr>
      <w:r>
        <w:rPr>
          <w:rStyle w:val="FootnoteReference"/>
        </w:rPr>
        <w:footnoteRef/>
      </w:r>
      <w:r>
        <w:t xml:space="preserve"> Ibid</w:t>
      </w:r>
    </w:p>
    <w:p w14:paraId="1CAE462B" w14:textId="77777777" w:rsidR="00091AD1" w:rsidRDefault="00091AD1">
      <w:pPr>
        <w:pStyle w:val="FootnoteText"/>
        <w:ind w:firstLine="720"/>
      </w:pPr>
    </w:p>
  </w:footnote>
  <w:footnote w:id="34">
    <w:p w14:paraId="64C6A05B" w14:textId="77777777" w:rsidR="00091AD1" w:rsidRDefault="00091AD1">
      <w:pPr>
        <w:pStyle w:val="FootnoteText"/>
        <w:ind w:firstLine="720"/>
      </w:pPr>
      <w:r>
        <w:rPr>
          <w:rStyle w:val="FootnoteReference"/>
        </w:rPr>
        <w:footnoteRef/>
      </w:r>
      <w:r>
        <w:t xml:space="preserve"> </w:t>
      </w:r>
      <w:r>
        <w:t xml:space="preserve">Emanuela Prinzivalli, "Adam and the Soul of Christ in Origen's Commentary on Genesis. A Possible Reconstruction" In: </w:t>
      </w:r>
      <w:r>
        <w:rPr>
          <w:i/>
          <w:iCs/>
        </w:rPr>
        <w:t>Adamantius</w:t>
      </w:r>
      <w:r>
        <w:t xml:space="preserve"> Vol. 23 (2017) p120. </w:t>
      </w:r>
    </w:p>
  </w:footnote>
  <w:footnote w:id="35">
    <w:p w14:paraId="3302C0DD" w14:textId="77777777" w:rsidR="00091AD1" w:rsidRDefault="00091AD1">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091AD1" w:rsidRDefault="00091AD1">
      <w:pPr>
        <w:pStyle w:val="FootnoteText"/>
      </w:pPr>
    </w:p>
  </w:footnote>
  <w:footnote w:id="36">
    <w:p w14:paraId="225816FB" w14:textId="77777777" w:rsidR="00091AD1" w:rsidRDefault="00091AD1">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091AD1" w:rsidRDefault="00091AD1">
      <w:pPr>
        <w:pStyle w:val="FootnoteText"/>
        <w:ind w:firstLine="720"/>
      </w:pPr>
    </w:p>
  </w:footnote>
  <w:footnote w:id="37">
    <w:p w14:paraId="5FEAC196" w14:textId="77777777" w:rsidR="00091AD1" w:rsidRDefault="00091AD1">
      <w:pPr>
        <w:pStyle w:val="FootnoteText"/>
        <w:ind w:firstLine="720"/>
      </w:pPr>
      <w:r>
        <w:rPr>
          <w:rStyle w:val="FootnoteReference"/>
        </w:rPr>
        <w:footnoteRef/>
      </w:r>
      <w:r>
        <w:t xml:space="preserve"> Ibid</w:t>
      </w:r>
    </w:p>
    <w:p w14:paraId="4C119107" w14:textId="77777777" w:rsidR="00091AD1" w:rsidRDefault="00091AD1">
      <w:pPr>
        <w:pStyle w:val="FootnoteText"/>
        <w:ind w:firstLine="720"/>
      </w:pPr>
    </w:p>
  </w:footnote>
  <w:footnote w:id="38">
    <w:p w14:paraId="58F584D8" w14:textId="77777777" w:rsidR="00091AD1" w:rsidRDefault="00091AD1">
      <w:pPr>
        <w:pStyle w:val="FootnoteText"/>
        <w:ind w:firstLine="720"/>
      </w:pPr>
      <w:r>
        <w:rPr>
          <w:rStyle w:val="FootnoteReference"/>
        </w:rPr>
        <w:footnoteRef/>
      </w:r>
      <w:r>
        <w:t xml:space="preserve"> Helene M. </w:t>
      </w:r>
      <w:r>
        <w:t>Dallaire. </w:t>
      </w:r>
      <w:r>
        <w:rPr>
          <w:i/>
          <w:iCs/>
        </w:rPr>
        <w:t>Biblical Hebrew: A Living Language</w:t>
      </w:r>
      <w:r>
        <w:t>. Columbia, SC: Columbia International University, 2017</w:t>
      </w:r>
    </w:p>
    <w:p w14:paraId="5DF6415C" w14:textId="77777777" w:rsidR="00091AD1" w:rsidRDefault="00091AD1">
      <w:pPr>
        <w:pStyle w:val="FootnoteText"/>
      </w:pPr>
    </w:p>
  </w:footnote>
  <w:footnote w:id="39">
    <w:p w14:paraId="4B366008"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091AD1" w:rsidRDefault="00091AD1">
      <w:pPr>
        <w:pStyle w:val="FootnoteText"/>
      </w:pPr>
    </w:p>
  </w:footnote>
  <w:footnote w:id="40">
    <w:p w14:paraId="567ADA1F" w14:textId="77777777" w:rsidR="00091AD1" w:rsidRDefault="00091AD1">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091AD1" w:rsidRDefault="00091AD1">
      <w:pPr>
        <w:pStyle w:val="FootnoteText"/>
      </w:pPr>
    </w:p>
  </w:footnote>
  <w:footnote w:id="41">
    <w:p w14:paraId="47BE7C7D" w14:textId="77777777" w:rsidR="00091AD1" w:rsidRDefault="00091AD1">
      <w:pPr>
        <w:pStyle w:val="FootnoteText"/>
        <w:ind w:firstLine="720"/>
      </w:pPr>
      <w:r>
        <w:rPr>
          <w:rStyle w:val="FootnoteReference"/>
        </w:rPr>
        <w:footnoteRef/>
      </w:r>
      <w:r>
        <w:t xml:space="preserve"> 1985 John A. Phillips. </w:t>
      </w:r>
      <w:r>
        <w:rPr>
          <w:i/>
          <w:iCs/>
        </w:rPr>
        <w:t xml:space="preserve">Eve and </w:t>
      </w:r>
      <w:r>
        <w:rPr>
          <w:i/>
          <w:iCs/>
        </w:rPr>
        <w:t>yhwh Eve: The History of an Idea</w:t>
      </w:r>
      <w:r>
        <w:t>. San Francisco, CA: Harper &amp; Row, Sep 1, 1984.</w:t>
      </w:r>
    </w:p>
    <w:p w14:paraId="71BA9FD3" w14:textId="77777777" w:rsidR="00091AD1" w:rsidRDefault="00091AD1">
      <w:pPr>
        <w:pStyle w:val="FootnoteText"/>
        <w:ind w:firstLine="720"/>
      </w:pPr>
    </w:p>
  </w:footnote>
  <w:footnote w:id="42">
    <w:p w14:paraId="1F924862" w14:textId="77777777" w:rsidR="00091AD1" w:rsidRDefault="00091AD1">
      <w:pPr>
        <w:pStyle w:val="FootnoteText"/>
        <w:ind w:firstLine="720"/>
      </w:pPr>
      <w:r>
        <w:rPr>
          <w:rStyle w:val="FootnoteReference"/>
        </w:rPr>
        <w:footnoteRef/>
      </w:r>
      <w:r>
        <w:t xml:space="preserve"> Isaac M. </w:t>
      </w:r>
      <w:r>
        <w:t>Kikawada, "Two Notes on Eve" In: </w:t>
      </w:r>
      <w:r>
        <w:rPr>
          <w:i/>
          <w:iCs/>
        </w:rPr>
        <w:t>Journal of Biblical Literature</w:t>
      </w:r>
      <w:r>
        <w:t xml:space="preserve"> Vol. 91, No. 1 (Mar., 1972) pp. 33-37 </w:t>
      </w:r>
    </w:p>
    <w:p w14:paraId="49EF8C47" w14:textId="77777777" w:rsidR="00091AD1" w:rsidRDefault="00091AD1">
      <w:pPr>
        <w:pStyle w:val="FootnoteText"/>
        <w:ind w:firstLine="720"/>
      </w:pPr>
    </w:p>
  </w:footnote>
  <w:footnote w:id="43">
    <w:p w14:paraId="05E54DDF" w14:textId="77777777" w:rsidR="00091AD1" w:rsidRDefault="00091AD1">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091AD1" w:rsidRDefault="00091AD1">
      <w:pPr>
        <w:pStyle w:val="FootnoteText"/>
      </w:pPr>
    </w:p>
  </w:footnote>
  <w:footnote w:id="44">
    <w:p w14:paraId="32C3963C" w14:textId="77777777" w:rsidR="00091AD1" w:rsidRDefault="00091AD1">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091AD1" w:rsidRDefault="00091AD1">
      <w:pPr>
        <w:pStyle w:val="FootnoteText"/>
      </w:pPr>
    </w:p>
  </w:footnote>
  <w:footnote w:id="45">
    <w:p w14:paraId="5C3E9506" w14:textId="77777777" w:rsidR="00091AD1" w:rsidRDefault="00091AD1">
      <w:pPr>
        <w:pStyle w:val="FootnoteText"/>
        <w:ind w:firstLine="720"/>
      </w:pPr>
      <w:r>
        <w:rPr>
          <w:rStyle w:val="FootnoteReference"/>
        </w:rPr>
        <w:footnoteRef/>
      </w:r>
      <w:r>
        <w:t xml:space="preserve"> Isaac M. </w:t>
      </w:r>
      <w:r>
        <w:t>Kikawada, "Two Notes on Eve" In: </w:t>
      </w:r>
      <w:r>
        <w:rPr>
          <w:i/>
          <w:iCs/>
        </w:rPr>
        <w:t>Journal of Biblical Literature</w:t>
      </w:r>
      <w:r>
        <w:t> Vol. 91, No. 1 (Mar., 1972) pp. 33-37</w:t>
      </w:r>
    </w:p>
    <w:p w14:paraId="67E7DFAB" w14:textId="77777777" w:rsidR="00091AD1" w:rsidRDefault="00091AD1">
      <w:pPr>
        <w:pStyle w:val="FootnoteText"/>
        <w:ind w:firstLine="720"/>
      </w:pPr>
    </w:p>
  </w:footnote>
  <w:footnote w:id="46">
    <w:p w14:paraId="457C90D1" w14:textId="77777777" w:rsidR="00091AD1" w:rsidRDefault="00091AD1">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091AD1" w:rsidRDefault="00091AD1">
      <w:pPr>
        <w:pStyle w:val="FootnoteText"/>
      </w:pPr>
    </w:p>
  </w:footnote>
  <w:footnote w:id="47">
    <w:p w14:paraId="7D41E50B" w14:textId="77777777" w:rsidR="00091AD1" w:rsidRDefault="00091AD1">
      <w:pPr>
        <w:pStyle w:val="FootnoteText"/>
        <w:ind w:firstLine="720"/>
      </w:pPr>
      <w:r>
        <w:rPr>
          <w:rStyle w:val="FootnoteReference"/>
        </w:rPr>
        <w:footnoteRef/>
      </w:r>
      <w:r>
        <w:t xml:space="preserve"> Peterson Brian Neil, "Does Genesis 2 Support Same Sex Marriage </w:t>
      </w:r>
      <w:r>
        <w:t>An Evangelical Response" In: </w:t>
      </w:r>
      <w:r>
        <w:rPr>
          <w:i/>
          <w:iCs/>
        </w:rPr>
        <w:t>Journal of the Evangelical Theological Soc</w:t>
      </w:r>
      <w:r>
        <w:t> Vol. 60 Issue 4 (Dec2017) p681-696</w:t>
      </w:r>
    </w:p>
    <w:p w14:paraId="63FCE223" w14:textId="77777777" w:rsidR="00091AD1" w:rsidRDefault="00091AD1">
      <w:pPr>
        <w:pStyle w:val="FootnoteText"/>
        <w:ind w:firstLine="720"/>
      </w:pPr>
    </w:p>
  </w:footnote>
  <w:footnote w:id="48">
    <w:p w14:paraId="777C3E64" w14:textId="77777777" w:rsidR="00091AD1" w:rsidRDefault="00091AD1">
      <w:pPr>
        <w:pStyle w:val="FootnoteText"/>
        <w:ind w:firstLine="720"/>
      </w:pPr>
      <w:r>
        <w:rPr>
          <w:rStyle w:val="FootnoteReference"/>
        </w:rPr>
        <w:footnoteRef/>
      </w:r>
      <w:r>
        <w:t xml:space="preserve"> Nathaniel Schmidt, "</w:t>
      </w:r>
      <w:r>
        <w:t>Yahwe Elohim" In: </w:t>
      </w:r>
      <w:r>
        <w:rPr>
          <w:i/>
          <w:iCs/>
        </w:rPr>
        <w:t>Journal of Biblical Literature</w:t>
      </w:r>
      <w:r>
        <w:t> Vol. 33, No. 1 (Mar., 1914) pp. 25-47</w:t>
      </w:r>
    </w:p>
    <w:p w14:paraId="74726ED2" w14:textId="77777777" w:rsidR="00091AD1" w:rsidRDefault="00091AD1">
      <w:pPr>
        <w:pStyle w:val="FootnoteText"/>
      </w:pPr>
    </w:p>
  </w:footnote>
  <w:footnote w:id="49">
    <w:p w14:paraId="65126F17" w14:textId="77777777" w:rsidR="00091AD1" w:rsidRDefault="00091AD1">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091AD1" w:rsidRDefault="00091AD1">
      <w:pPr>
        <w:pStyle w:val="FootnoteText"/>
      </w:pPr>
    </w:p>
  </w:footnote>
  <w:footnote w:id="50">
    <w:p w14:paraId="251882CD" w14:textId="77777777" w:rsidR="00091AD1" w:rsidRDefault="00091AD1">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091AD1" w:rsidRDefault="00091AD1">
      <w:pPr>
        <w:pStyle w:val="FootnoteText"/>
        <w:ind w:firstLine="720"/>
      </w:pPr>
      <w:r>
        <w:rPr>
          <w:rStyle w:val="FootnoteReference"/>
        </w:rPr>
        <w:footnoteRef/>
      </w:r>
      <w:r>
        <w:t xml:space="preserve"> </w:t>
      </w:r>
      <w:r>
        <w:t xml:space="preserve">Emanuela Prinzivalli, "Adam and the Soul of Christ in Origen's Commentary on Genesis. A Possible Reconstruction" In: </w:t>
      </w:r>
      <w:r>
        <w:rPr>
          <w:i/>
          <w:iCs/>
        </w:rPr>
        <w:t>Adamantius</w:t>
      </w:r>
      <w:r>
        <w:t xml:space="preserve"> Vol. 23 (2017) p119-129</w:t>
      </w:r>
    </w:p>
    <w:p w14:paraId="25E840B9" w14:textId="77777777" w:rsidR="00091AD1" w:rsidRDefault="00091AD1">
      <w:pPr>
        <w:pStyle w:val="FootnoteText"/>
      </w:pPr>
    </w:p>
  </w:footnote>
  <w:footnote w:id="52">
    <w:p w14:paraId="5A07B646" w14:textId="77777777" w:rsidR="00091AD1" w:rsidRDefault="00091AD1">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091AD1" w:rsidRPr="006C6F22" w:rsidRDefault="00091AD1"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r w:rsidRPr="006C6F22">
        <w:t>N.p., 2019.</w:t>
      </w:r>
      <w:bookmarkEnd w:id="3"/>
    </w:p>
    <w:p w14:paraId="0411F3A5" w14:textId="77777777" w:rsidR="00091AD1" w:rsidRDefault="00091AD1" w:rsidP="006C6F22">
      <w:pPr>
        <w:pStyle w:val="FootnoteText"/>
      </w:pPr>
    </w:p>
  </w:footnote>
  <w:footnote w:id="54">
    <w:p w14:paraId="0F6F4273" w14:textId="77777777" w:rsidR="00091AD1" w:rsidRPr="006C6F22" w:rsidRDefault="00091AD1" w:rsidP="006C6F22">
      <w:pPr>
        <w:pStyle w:val="FootnoteText"/>
        <w:ind w:firstLine="720"/>
      </w:pPr>
      <w:r>
        <w:rPr>
          <w:rStyle w:val="FootnoteReference"/>
        </w:rPr>
        <w:footnoteRef/>
      </w:r>
      <w:r>
        <w:t xml:space="preserve"> </w:t>
      </w:r>
      <w:bookmarkStart w:id="4" w:name="endnote1"/>
      <w:r w:rsidRPr="006C6F22">
        <w:t>Mogens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091AD1" w:rsidRDefault="00091AD1">
      <w:pPr>
        <w:pStyle w:val="FootnoteText"/>
      </w:pPr>
    </w:p>
  </w:footnote>
  <w:footnote w:id="55">
    <w:p w14:paraId="5BD6EB53" w14:textId="77777777" w:rsidR="00091AD1" w:rsidRPr="00F75B0D" w:rsidRDefault="00091AD1"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r w:rsidRPr="00F75B0D">
        <w:t>N.p., 2012.</w:t>
      </w:r>
      <w:bookmarkEnd w:id="5"/>
    </w:p>
    <w:p w14:paraId="5F0EC1DE" w14:textId="77777777" w:rsidR="00091AD1" w:rsidRDefault="00091AD1"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02C88"/>
    <w:rsid w:val="00083F8E"/>
    <w:rsid w:val="00091AD1"/>
    <w:rsid w:val="001060AF"/>
    <w:rsid w:val="00113081"/>
    <w:rsid w:val="00160160"/>
    <w:rsid w:val="00171219"/>
    <w:rsid w:val="002A6C17"/>
    <w:rsid w:val="003029CE"/>
    <w:rsid w:val="003B2337"/>
    <w:rsid w:val="003C41AA"/>
    <w:rsid w:val="003E00E0"/>
    <w:rsid w:val="003E2522"/>
    <w:rsid w:val="004073D8"/>
    <w:rsid w:val="005050DF"/>
    <w:rsid w:val="005532DD"/>
    <w:rsid w:val="00582A3E"/>
    <w:rsid w:val="005F74F2"/>
    <w:rsid w:val="006272F9"/>
    <w:rsid w:val="00632BAD"/>
    <w:rsid w:val="0066549B"/>
    <w:rsid w:val="00687E12"/>
    <w:rsid w:val="006C6F22"/>
    <w:rsid w:val="006F3192"/>
    <w:rsid w:val="00742F69"/>
    <w:rsid w:val="007A2129"/>
    <w:rsid w:val="00826F61"/>
    <w:rsid w:val="00831492"/>
    <w:rsid w:val="008D4D5F"/>
    <w:rsid w:val="00900B7D"/>
    <w:rsid w:val="0096400D"/>
    <w:rsid w:val="00980581"/>
    <w:rsid w:val="00A458A7"/>
    <w:rsid w:val="00A864C2"/>
    <w:rsid w:val="00B304D1"/>
    <w:rsid w:val="00BC390C"/>
    <w:rsid w:val="00C679AC"/>
    <w:rsid w:val="00CA2390"/>
    <w:rsid w:val="00D074B2"/>
    <w:rsid w:val="00D51A51"/>
    <w:rsid w:val="00D53DE5"/>
    <w:rsid w:val="00D541BD"/>
    <w:rsid w:val="00DF3834"/>
    <w:rsid w:val="00E7306E"/>
    <w:rsid w:val="00E8630D"/>
    <w:rsid w:val="00F21557"/>
    <w:rsid w:val="00F75B0D"/>
    <w:rsid w:val="00F904E7"/>
    <w:rsid w:val="00FD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66</Pages>
  <Words>15424</Words>
  <Characters>87921</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cp:lastPrinted>2021-10-23T12:33:00Z</cp:lastPrinted>
  <dcterms:created xsi:type="dcterms:W3CDTF">2021-10-23T12:33:00Z</dcterms:created>
  <dcterms:modified xsi:type="dcterms:W3CDTF">2022-01-20T14:34:00Z</dcterms:modified>
</cp:coreProperties>
</file>