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1E87" w14:textId="77777777" w:rsidR="003821DD" w:rsidRDefault="003821DD" w:rsidP="003821DD">
      <w:pPr>
        <w:pStyle w:val="Kop1"/>
      </w:pPr>
      <w:r>
        <w:t>&gt; Strategies of Reclaiming</w:t>
      </w:r>
    </w:p>
    <w:p w14:paraId="0C78DBB7" w14:textId="77777777" w:rsidR="003821DD" w:rsidRPr="005D0F2D" w:rsidRDefault="003821DD" w:rsidP="005D0F2D">
      <w:pPr>
        <w:rPr>
          <w:i/>
          <w:iCs/>
        </w:rPr>
      </w:pPr>
      <w:r w:rsidRPr="005D0F2D">
        <w:rPr>
          <w:i/>
          <w:iCs/>
        </w:rPr>
        <w:t>Michelle Teran</w:t>
      </w:r>
    </w:p>
    <w:p w14:paraId="1391B794" w14:textId="77777777" w:rsidR="003821DD" w:rsidRPr="00F30B07" w:rsidRDefault="003821DD" w:rsidP="005D0F2D">
      <w:r w:rsidRPr="00F30B07">
        <w:t>FADE IN</w:t>
      </w:r>
      <w:r w:rsidRPr="00F30B07">
        <w:br/>
        <w:t>INT. OFFICE SPACE DAY</w:t>
      </w:r>
    </w:p>
    <w:p w14:paraId="583C5B4E" w14:textId="77777777" w:rsidR="003821DD" w:rsidRPr="00F30B07" w:rsidRDefault="003821DD" w:rsidP="005D0F2D">
      <w:r w:rsidRPr="00F30B07">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1E8799D0" w14:textId="77777777" w:rsidR="003821DD" w:rsidRPr="00DE4637" w:rsidRDefault="003821DD" w:rsidP="00DE4637">
      <w:pPr>
        <w:pStyle w:val="Kop4"/>
      </w:pPr>
      <w:r w:rsidRPr="00DE4637">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DE4637">
        <w:t>Afectados</w:t>
      </w:r>
      <w:proofErr w:type="spellEnd"/>
      <w:r w:rsidRPr="00DE4637">
        <w:t xml:space="preserve"> por la </w:t>
      </w:r>
      <w:proofErr w:type="spellStart"/>
      <w:r w:rsidRPr="00DE4637">
        <w:t>Hipoteca</w:t>
      </w:r>
      <w:proofErr w:type="spellEnd"/>
      <w:r w:rsidRPr="00DE4637">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DE4637">
        <w:t>Marilo</w:t>
      </w:r>
      <w:proofErr w:type="spellEnd"/>
      <w:r w:rsidRPr="00DE4637">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32493E2" w14:textId="77777777" w:rsidR="003821DD" w:rsidRPr="00DE4637" w:rsidRDefault="003821DD" w:rsidP="00DE4637">
      <w:pPr>
        <w:pStyle w:val="Kop4"/>
      </w:pPr>
      <w:r w:rsidRPr="00DE4637">
        <w:t xml:space="preserve">MARILO: We can’t stay there or I will fall asleep. </w:t>
      </w:r>
    </w:p>
    <w:p w14:paraId="3D4A1E57" w14:textId="77777777" w:rsidR="003821DD" w:rsidRPr="00DE4637" w:rsidRDefault="003821DD" w:rsidP="00DE4637">
      <w:pPr>
        <w:pStyle w:val="Kop4"/>
      </w:pPr>
      <w:r w:rsidRPr="00DE4637">
        <w:t>[Everybody closes their eyes except for Irene.]</w:t>
      </w:r>
    </w:p>
    <w:p w14:paraId="5F7AD641" w14:textId="77777777" w:rsidR="003821DD" w:rsidRPr="00DE4637" w:rsidRDefault="003821DD" w:rsidP="00DE4637">
      <w:pPr>
        <w:pStyle w:val="Kop4"/>
      </w:pPr>
      <w:r w:rsidRPr="00DE4637">
        <w:t xml:space="preserve">IRENE: We are not going to stay there </w:t>
      </w:r>
      <w:proofErr w:type="gramStart"/>
      <w:r w:rsidRPr="00DE4637">
        <w:t>long,</w:t>
      </w:r>
      <w:proofErr w:type="gramEnd"/>
      <w:r w:rsidRPr="00DE4637">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67A75FA" w14:textId="77777777" w:rsidR="003821DD" w:rsidRPr="00DE4637" w:rsidRDefault="003821DD" w:rsidP="00DE4637">
      <w:pPr>
        <w:pStyle w:val="Kop4"/>
      </w:pPr>
      <w:r w:rsidRPr="00DE4637">
        <w:t>[</w:t>
      </w:r>
      <w:proofErr w:type="spellStart"/>
      <w:r w:rsidRPr="00DE4637">
        <w:t>Marilo</w:t>
      </w:r>
      <w:proofErr w:type="spellEnd"/>
      <w:r w:rsidRPr="00DE4637">
        <w:t xml:space="preserve">, Gladys, Manuela, and </w:t>
      </w:r>
      <w:proofErr w:type="spellStart"/>
      <w:r w:rsidRPr="00DE4637">
        <w:t>Charo</w:t>
      </w:r>
      <w:proofErr w:type="spellEnd"/>
      <w:r w:rsidRPr="00DE4637">
        <w:t xml:space="preserve"> open their eyes again.]</w:t>
      </w:r>
    </w:p>
    <w:p w14:paraId="230C9CB0" w14:textId="77777777" w:rsidR="003821DD" w:rsidRPr="00DE4637" w:rsidRDefault="003821DD" w:rsidP="00DE4637">
      <w:pPr>
        <w:pStyle w:val="Kop4"/>
      </w:pPr>
      <w:r w:rsidRPr="00DE4637">
        <w:t>IRENE (cont’d): Okay, the theme that we wanted to propose to you today is that we talk about how we were before.</w:t>
      </w:r>
    </w:p>
    <w:p w14:paraId="35E3CD80" w14:textId="77777777" w:rsidR="003821DD" w:rsidRPr="00DE4637" w:rsidRDefault="003821DD" w:rsidP="00DE4637">
      <w:pPr>
        <w:pStyle w:val="Kop4"/>
      </w:pPr>
      <w:r w:rsidRPr="00DE4637">
        <w:t>[</w:t>
      </w:r>
      <w:proofErr w:type="spellStart"/>
      <w:r w:rsidRPr="00DE4637">
        <w:t>Marilo</w:t>
      </w:r>
      <w:proofErr w:type="spellEnd"/>
      <w:r w:rsidRPr="00DE4637">
        <w:t xml:space="preserve">, Gladys, Manuela, and </w:t>
      </w:r>
      <w:proofErr w:type="spellStart"/>
      <w:r w:rsidRPr="00DE4637">
        <w:t>Charo</w:t>
      </w:r>
      <w:proofErr w:type="spellEnd"/>
      <w:r w:rsidRPr="00DE4637">
        <w:t xml:space="preserve"> look at Irene.]</w:t>
      </w:r>
    </w:p>
    <w:p w14:paraId="7F4F7EDD" w14:textId="77777777" w:rsidR="003821DD" w:rsidRPr="00DE4637" w:rsidRDefault="003821DD" w:rsidP="00DE4637">
      <w:pPr>
        <w:pStyle w:val="Kop4"/>
      </w:pPr>
      <w:r w:rsidRPr="00DE4637">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7C2DC8C" w14:textId="77777777" w:rsidR="003821DD" w:rsidRPr="00DE4637" w:rsidRDefault="003821DD" w:rsidP="00DE4637">
      <w:pPr>
        <w:pStyle w:val="Kop4"/>
      </w:pPr>
      <w:r w:rsidRPr="00DE4637">
        <w:t xml:space="preserve">[Irene looks at </w:t>
      </w:r>
      <w:proofErr w:type="spellStart"/>
      <w:r w:rsidRPr="00DE4637">
        <w:t>Marilo</w:t>
      </w:r>
      <w:proofErr w:type="spellEnd"/>
      <w:r w:rsidRPr="00DE4637">
        <w:t>.]</w:t>
      </w:r>
    </w:p>
    <w:p w14:paraId="7993AEDD" w14:textId="77777777" w:rsidR="003821DD" w:rsidRDefault="003821DD" w:rsidP="003821DD">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31A8437B" w14:textId="77777777" w:rsidR="003821DD" w:rsidRDefault="003821DD" w:rsidP="003821DD">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F318E71" w14:textId="77777777" w:rsidR="003821DD" w:rsidRDefault="003821DD" w:rsidP="003821DD">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4B3246D6" w14:textId="77777777" w:rsidR="003821DD" w:rsidRDefault="003821DD" w:rsidP="003821DD">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E648FD">
        <w:rPr>
          <w:rStyle w:val="None"/>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62D46C03" w14:textId="77777777" w:rsidR="003821DD" w:rsidRDefault="003821DD" w:rsidP="003821DD">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0A409AFD" w14:textId="77777777" w:rsidR="003821DD" w:rsidRPr="00C91494" w:rsidRDefault="003821DD" w:rsidP="003821DD">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6B86A4F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27737565"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136B5945" w14:textId="77777777" w:rsidR="003821DD" w:rsidRPr="00F30B07" w:rsidRDefault="003821DD" w:rsidP="003821DD">
      <w:pPr>
        <w:pStyle w:val="Kop4"/>
      </w:pPr>
      <w:r w:rsidRPr="00F30B07">
        <w:t xml:space="preserve">GLADYS: Listen, I gave all of my life to be there. I worked so hard, more than twenty-four hours a day, to be able to make the payments. And </w:t>
      </w:r>
      <w:proofErr w:type="gramStart"/>
      <w:r w:rsidRPr="00F30B07">
        <w:t>so</w:t>
      </w:r>
      <w:proofErr w:type="gramEnd"/>
      <w:r w:rsidRPr="00F30B07">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184C5AAD"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443F519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 xml:space="preserve">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4C294D1E" w14:textId="77777777" w:rsidR="003821DD" w:rsidRDefault="003821DD" w:rsidP="003821DD">
      <w:pPr>
        <w:rPr>
          <w:rStyle w:val="None"/>
        </w:rPr>
      </w:pPr>
      <w:r>
        <w:rPr>
          <w:rStyle w:val="None"/>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Pr>
        <w:t>realise</w:t>
      </w:r>
      <w:proofErr w:type="spellEnd"/>
      <w:r>
        <w:rPr>
          <w:rStyle w:val="None"/>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90).</w:t>
      </w:r>
      <w:r>
        <w:rPr>
          <w:rStyle w:val="None"/>
          <w:sz w:val="20"/>
          <w:szCs w:val="20"/>
        </w:rPr>
        <w:t xml:space="preserve"> </w:t>
      </w:r>
    </w:p>
    <w:p w14:paraId="6780542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41288D3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BD7FC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lastRenderedPageBreak/>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3FDB82C8" w14:textId="77777777" w:rsidR="003821DD" w:rsidRPr="00F30B07" w:rsidRDefault="003821DD" w:rsidP="003821DD">
      <w:pPr>
        <w:pStyle w:val="Kop4"/>
      </w:pPr>
      <w:r w:rsidRPr="00F30B07">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633500CE" w14:textId="77777777" w:rsidR="003821DD" w:rsidRPr="00C91494" w:rsidRDefault="003821DD" w:rsidP="003821DD">
      <w:pPr>
        <w:pStyle w:val="Normal1"/>
        <w:spacing w:line="480" w:lineRule="auto"/>
        <w:outlineLvl w:val="3"/>
        <w:rPr>
          <w:rStyle w:val="None"/>
          <w:sz w:val="20"/>
          <w:szCs w:val="20"/>
        </w:rPr>
      </w:pPr>
      <w:r>
        <w:rPr>
          <w:rStyle w:val="None"/>
          <w:rFonts w:ascii="Times New Roman" w:hAnsi="Times New Roman"/>
          <w:sz w:val="24"/>
          <w:szCs w:val="24"/>
        </w:rPr>
        <w:lastRenderedPageBreak/>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036CC9FD"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7F8D98A4"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7625D272" w14:textId="77777777" w:rsidR="003821DD" w:rsidRPr="00254842" w:rsidRDefault="003821DD" w:rsidP="00254842">
      <w:pPr>
        <w:pStyle w:val="Kop4"/>
      </w:pPr>
      <w:r w:rsidRPr="00254842">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49A70540" w14:textId="62A447A5" w:rsidR="003821DD" w:rsidRPr="00315C64" w:rsidRDefault="003821DD" w:rsidP="003821DD">
      <w:pPr>
        <w:pStyle w:val="Kop5"/>
        <w:rPr>
          <w:rFonts w:ascii="Times New Roman" w:eastAsia="Times New Roman" w:hAnsi="Times New Roman" w:cs="Times New Roman"/>
          <w:b/>
          <w:color w:val="4F81BD"/>
        </w:rPr>
      </w:pPr>
      <w:r>
        <w:rPr>
          <w:b/>
        </w:rPr>
        <w:t>Mortgaged Lives, 2014, film, 42 min</w:t>
      </w:r>
      <w:r>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r w:rsidR="00315C64">
        <w:rPr>
          <w:rFonts w:ascii="Times New Roman" w:eastAsia="Times New Roman" w:hAnsi="Times New Roman" w:cs="Times New Roman"/>
          <w:b/>
          <w:color w:val="4F81BD"/>
        </w:rPr>
        <w:br/>
      </w: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2781386D" w14:textId="77777777" w:rsidR="003821DD" w:rsidRDefault="003821DD" w:rsidP="003821DD">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w:t>
      </w:r>
      <w:r w:rsidRPr="00D2113C">
        <w:rPr>
          <w:color w:val="000000"/>
        </w:rPr>
        <w:t>MortgagedLives.jpg</w:t>
      </w:r>
      <w:r>
        <w:rPr>
          <w:rFonts w:ascii="Consolas" w:eastAsia="Consolas" w:hAnsi="Consolas" w:cs="Consolas"/>
          <w:color w:val="24292E"/>
          <w:sz w:val="20"/>
          <w:szCs w:val="20"/>
        </w:rPr>
        <w:t>)</w:t>
      </w:r>
    </w:p>
    <w:p w14:paraId="235E6EB6" w14:textId="77777777" w:rsidR="003821DD" w:rsidRPr="00C91494" w:rsidRDefault="003821DD" w:rsidP="003821DD">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78CA100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7AD613E4"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w:t>
      </w:r>
      <w:r>
        <w:rPr>
          <w:rStyle w:val="None"/>
          <w:rFonts w:ascii="Times New Roman" w:hAnsi="Times New Roman"/>
          <w:sz w:val="24"/>
          <w:szCs w:val="24"/>
        </w:rPr>
        <w:lastRenderedPageBreak/>
        <w:t>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01C5FDF4" w14:textId="77777777" w:rsidR="003821DD" w:rsidRPr="00C91494"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w:t>
      </w:r>
      <w:r>
        <w:rPr>
          <w:rStyle w:val="None"/>
          <w:rFonts w:ascii="Times New Roman" w:hAnsi="Times New Roman"/>
          <w:sz w:val="24"/>
          <w:szCs w:val="24"/>
        </w:rPr>
        <w:lastRenderedPageBreak/>
        <w:t>piled up mail, or people entering and exiting the building, will give clues of any sign of ‘life’ (PAH).</w:t>
      </w:r>
    </w:p>
    <w:p w14:paraId="23AC3150"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1FECA25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w:t>
      </w:r>
      <w:r>
        <w:rPr>
          <w:rStyle w:val="None"/>
          <w:rFonts w:ascii="Times New Roman" w:hAnsi="Times New Roman"/>
          <w:sz w:val="24"/>
          <w:szCs w:val="24"/>
        </w:rPr>
        <w:lastRenderedPageBreak/>
        <w:t>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541C604F"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residents and activists use to circulate the methods, ideas, dreams, and desires of the campaign. </w:t>
      </w:r>
      <w:r>
        <w:rPr>
          <w:rStyle w:val="None"/>
          <w:rFonts w:ascii="Times New Roman" w:hAnsi="Times New Roman"/>
          <w:sz w:val="24"/>
          <w:szCs w:val="24"/>
        </w:rPr>
        <w:lastRenderedPageBreak/>
        <w:t>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FA790D6" w14:textId="77777777" w:rsidR="003821DD" w:rsidRPr="00536DA7" w:rsidRDefault="003821DD" w:rsidP="003821DD">
      <w:pPr>
        <w:rPr>
          <w:rFonts w:eastAsia="Arial Unicode MS"/>
        </w:rPr>
      </w:pPr>
      <w:proofErr w:type="gramStart"/>
      <w:r w:rsidRPr="00536DA7">
        <w:t>![</w:t>
      </w:r>
      <w:proofErr w:type="gramEnd"/>
      <w:r>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A6C4F4A"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counter-message into the Bankia logo: ‘So you know! This bank cheats and steals, and throws people out on the street.’ The PAH’s reasons for focusing on Bankia were manifold.</w:t>
      </w:r>
    </w:p>
    <w:p w14:paraId="682A92C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xml:space="preserve">,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444E1F1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040C32D8"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24A54658" w14:textId="383D5875" w:rsidR="003821DD" w:rsidRDefault="003821DD" w:rsidP="003821DD">
      <w:pPr>
        <w:pStyle w:val="Kop4"/>
      </w:pPr>
      <w:r w:rsidRPr="00F30B07">
        <w:t>GLADYS: I think that the most important thing throughout this entire process is that we make all of these cases completely visible. All of them... how they cheated us. We need to make sure that all the work that we do in this social movement is visible.</w:t>
      </w:r>
    </w:p>
    <w:p w14:paraId="101CC74D" w14:textId="77777777" w:rsidR="00244C5C" w:rsidRPr="00C420AE" w:rsidRDefault="00244C5C" w:rsidP="00244C5C">
      <w:pPr>
        <w:rPr>
          <w:rStyle w:val="None"/>
          <w:sz w:val="18"/>
          <w:szCs w:val="18"/>
          <w:lang w:val="en-NZ"/>
        </w:rPr>
      </w:pPr>
      <w:proofErr w:type="gramStart"/>
      <w:r>
        <w:t>![</w:t>
      </w:r>
      <w:proofErr w:type="gramEnd"/>
      <w:r>
        <w:t xml:space="preserve">2. </w:t>
      </w:r>
      <w:r w:rsidRPr="00C91494">
        <w:rPr>
          <w:color w:val="212121"/>
          <w:sz w:val="18"/>
          <w:szCs w:val="18"/>
        </w:rPr>
        <w:t xml:space="preserve"> 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4FCEB267" w14:textId="0E77ED22" w:rsidR="003821DD" w:rsidRPr="00315C64" w:rsidRDefault="003821DD" w:rsidP="003821DD">
      <w:pPr>
        <w:pStyle w:val="Kop5"/>
        <w:rPr>
          <w:rFonts w:ascii="Times New Roman" w:eastAsia="Times New Roman" w:hAnsi="Times New Roman" w:cs="Times New Roman"/>
          <w:b/>
        </w:rPr>
      </w:pPr>
      <w:r>
        <w:rPr>
          <w:b/>
        </w:rPr>
        <w:lastRenderedPageBreak/>
        <w:t>‘Rupture Sessions’, 2014, public reading</w:t>
      </w:r>
      <w:r>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r w:rsidR="00315C64">
        <w:rPr>
          <w:rFonts w:ascii="Times New Roman" w:eastAsia="Times New Roman" w:hAnsi="Times New Roman" w:cs="Times New Roman"/>
          <w:b/>
        </w:rPr>
        <w:br/>
      </w: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27150475" w14:textId="7278D420" w:rsidR="003821DD" w:rsidRPr="00C91494" w:rsidRDefault="003821DD" w:rsidP="009415C9">
      <w:pPr>
        <w:rPr>
          <w:rStyle w:val="None"/>
          <w:rFonts w:eastAsia="Arial Unicode MS"/>
        </w:rPr>
      </w:pPr>
      <w:proofErr w:type="gramStart"/>
      <w:r>
        <w:t>![</w:t>
      </w:r>
      <w:proofErr w:type="gramEnd"/>
      <w:r>
        <w:t>](images/8_MichelleTeran/RuptureSessions</w:t>
      </w:r>
      <w:r w:rsidR="009415C9">
        <w:t>.jpg)</w:t>
      </w:r>
    </w:p>
    <w:p w14:paraId="6C58C987" w14:textId="77777777" w:rsidR="003821DD" w:rsidRDefault="003821DD" w:rsidP="003821DD">
      <w:pPr>
        <w:pStyle w:val="Kop2"/>
      </w:pPr>
      <w:bookmarkStart w:id="2" w:name="_gxfjfggiudow"/>
      <w:bookmarkEnd w:id="2"/>
      <w:r>
        <w:rPr>
          <w:rFonts w:eastAsia="Arial Unicode MS" w:cs="Arial Unicode MS"/>
        </w:rPr>
        <w:t>Publication—Making things public</w:t>
      </w:r>
    </w:p>
    <w:p w14:paraId="253835C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787314BC"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71EF7884"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0AEF427D" w14:textId="77777777" w:rsidR="003821DD" w:rsidRPr="00812320" w:rsidRDefault="003821DD" w:rsidP="003821DD">
      <w:proofErr w:type="gramStart"/>
      <w:r w:rsidRPr="00812320">
        <w:t>![</w:t>
      </w:r>
      <w:proofErr w:type="gramEnd"/>
      <w:r>
        <w:t>3.</w:t>
      </w:r>
      <w:r w:rsidRPr="00812320">
        <w:t xml:space="preserve"> Image from The </w:t>
      </w:r>
      <w:proofErr w:type="spellStart"/>
      <w:r w:rsidRPr="00812320">
        <w:t>Obra</w:t>
      </w:r>
      <w:proofErr w:type="spellEnd"/>
      <w:r w:rsidRPr="00812320">
        <w:t xml:space="preserve">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17D6637E"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16B3A77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052BB5FB" w14:textId="77777777" w:rsidR="003821DD" w:rsidRPr="004E60BA"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78F1116E" w14:textId="77777777" w:rsidR="003821DD" w:rsidRPr="00812320" w:rsidRDefault="003821DD" w:rsidP="003821DD">
      <w:proofErr w:type="gramStart"/>
      <w:r w:rsidRPr="00812320">
        <w:t>![</w:t>
      </w:r>
      <w:proofErr w:type="gramEnd"/>
      <w:r>
        <w:t>4.</w:t>
      </w:r>
      <w:r w:rsidRPr="00812320">
        <w:t xml:space="preserve"> No </w:t>
      </w:r>
      <w:proofErr w:type="spellStart"/>
      <w:r w:rsidRPr="00812320">
        <w:t>Somos</w:t>
      </w:r>
      <w:proofErr w:type="spellEnd"/>
      <w:r w:rsidRPr="00812320">
        <w:t xml:space="preserve"> </w:t>
      </w:r>
      <w:proofErr w:type="spellStart"/>
      <w:r w:rsidRPr="00812320">
        <w:t>Números</w:t>
      </w:r>
      <w:proofErr w:type="spellEnd"/>
      <w:r w:rsidRPr="00812320">
        <w:t xml:space="preserve">.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5336B274"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w:t>
      </w:r>
      <w:proofErr w:type="gramStart"/>
      <w:r>
        <w:rPr>
          <w:rStyle w:val="None"/>
          <w:rFonts w:ascii="Times New Roman" w:hAnsi="Times New Roman"/>
          <w:sz w:val="24"/>
          <w:szCs w:val="24"/>
        </w:rPr>
        <w:t>is</w:t>
      </w:r>
      <w:proofErr w:type="gramEnd"/>
      <w:r>
        <w:rPr>
          <w:rStyle w:val="None"/>
          <w:rFonts w:ascii="Times New Roman" w:hAnsi="Times New Roman"/>
          <w:sz w:val="24"/>
          <w:szCs w:val="24"/>
        </w:rPr>
        <w:t xml:space="preserve">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79178B29" w14:textId="4D5D70E5" w:rsidR="003821DD" w:rsidRPr="00315C64" w:rsidRDefault="003821DD" w:rsidP="003821DD">
      <w:pPr>
        <w:pStyle w:val="Kop5"/>
        <w:rPr>
          <w:rFonts w:ascii="Times New Roman" w:eastAsia="Times New Roman" w:hAnsi="Times New Roman" w:cs="Times New Roman"/>
          <w:b/>
        </w:rPr>
      </w:pPr>
      <w:r>
        <w:rPr>
          <w:b/>
        </w:rPr>
        <w:lastRenderedPageBreak/>
        <w:t>‘Reclaiming Workshop’, 2016, public intervention</w:t>
      </w:r>
      <w:r>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r w:rsidR="00315C64">
        <w:rPr>
          <w:rFonts w:ascii="Times New Roman" w:eastAsia="Times New Roman" w:hAnsi="Times New Roman" w:cs="Times New Roman"/>
          <w:b/>
        </w:rPr>
        <w:br/>
      </w: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24765C4F" w14:textId="7F936F74" w:rsidR="003821DD" w:rsidRPr="004E60BA" w:rsidRDefault="003821DD" w:rsidP="009415C9">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w:t>
      </w:r>
      <w:r w:rsidR="009415C9">
        <w:rPr>
          <w:color w:val="000000"/>
        </w:rPr>
        <w:t>.jpg)</w:t>
      </w:r>
    </w:p>
    <w:p w14:paraId="6BC00DDA" w14:textId="77777777" w:rsidR="003821DD" w:rsidRDefault="003821DD" w:rsidP="003821DD">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41E0452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53C9C4CE" w14:textId="77777777" w:rsidR="003821DD" w:rsidRPr="004E60BA"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7E8FF24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734F10D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3B451F9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65D9622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5F96855F" w14:textId="77777777" w:rsidR="003821DD" w:rsidRPr="004E60BA" w:rsidRDefault="003821DD" w:rsidP="003821DD">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2C87713E" w14:textId="77777777" w:rsidR="003821DD" w:rsidRPr="008146A4" w:rsidRDefault="003821DD" w:rsidP="003821DD">
      <w:pPr>
        <w:pStyle w:val="Kop2"/>
        <w:rPr>
          <w:rStyle w:val="None"/>
        </w:rPr>
      </w:pPr>
      <w:r w:rsidRPr="008146A4">
        <w:rPr>
          <w:rStyle w:val="None"/>
        </w:rPr>
        <w:t>Works Cited</w:t>
      </w:r>
    </w:p>
    <w:p w14:paraId="6310284B"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7DE6BE1A"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1817EB20" w14:textId="77777777" w:rsidR="003821DD" w:rsidRDefault="003821DD" w:rsidP="003821DD">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68A3F1E1" w14:textId="77777777" w:rsidR="003821DD" w:rsidRDefault="003821DD" w:rsidP="003821DD">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74833AF9" w14:textId="77777777" w:rsidR="003821DD" w:rsidRDefault="003821DD" w:rsidP="003821DD">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97A546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150597B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129A113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B931444" w14:textId="77777777" w:rsidR="003821DD" w:rsidRDefault="003821DD" w:rsidP="003821DD">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7D51C4"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26B6969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45BCA04F" w14:textId="77777777" w:rsidR="003821DD" w:rsidRDefault="003821DD" w:rsidP="003821DD">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705ED508" w14:textId="77777777" w:rsidR="003821DD" w:rsidRPr="008146A4" w:rsidRDefault="003821DD" w:rsidP="003821DD">
      <w:pPr>
        <w:pStyle w:val="Kop2"/>
        <w:rPr>
          <w:rStyle w:val="None"/>
        </w:rPr>
      </w:pPr>
      <w:r w:rsidRPr="008146A4">
        <w:rPr>
          <w:rStyle w:val="None"/>
        </w:rPr>
        <w:t>List of Images</w:t>
      </w:r>
    </w:p>
    <w:p w14:paraId="011F880D" w14:textId="396599AF" w:rsidR="003821DD" w:rsidRPr="00F95299" w:rsidRDefault="00315C64" w:rsidP="003821DD">
      <w:pPr>
        <w:rPr>
          <w:rStyle w:val="None"/>
          <w:rFonts w:eastAsia="Arial Unicode MS"/>
          <w:sz w:val="18"/>
          <w:szCs w:val="18"/>
          <w:lang w:val="en-NZ"/>
        </w:rPr>
      </w:pPr>
      <w:r>
        <w:t xml:space="preserve">1. </w:t>
      </w:r>
      <w:r w:rsidR="003821DD" w:rsidRPr="00F95299">
        <w:rPr>
          <w:iCs/>
          <w:color w:val="1F497D" w:themeColor="text2"/>
          <w:sz w:val="18"/>
          <w:szCs w:val="18"/>
        </w:rPr>
        <w:t xml:space="preserve">Tweet from the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campaign: “This bank cheats, scams and throws people out of your house.”</w:t>
      </w:r>
      <w:r w:rsidR="003821DD" w:rsidRPr="00F95299">
        <w:rPr>
          <w:sz w:val="18"/>
          <w:szCs w:val="18"/>
          <w:lang w:val="en-NZ"/>
        </w:rPr>
        <w:t xml:space="preserve"> </w:t>
      </w:r>
      <w:r w:rsidR="003821DD" w:rsidRPr="00F95299">
        <w:rPr>
          <w:iCs/>
          <w:color w:val="1F497D" w:themeColor="text2"/>
          <w:sz w:val="18"/>
          <w:szCs w:val="18"/>
        </w:rPr>
        <w:t>“@</w:t>
      </w:r>
      <w:proofErr w:type="spellStart"/>
      <w:r w:rsidR="003821DD" w:rsidRPr="00F95299">
        <w:rPr>
          <w:iCs/>
          <w:color w:val="1F497D" w:themeColor="text2"/>
          <w:sz w:val="18"/>
          <w:szCs w:val="18"/>
        </w:rPr>
        <w:t>loansepuede</w:t>
      </w:r>
      <w:proofErr w:type="spellEnd"/>
      <w:r w:rsidR="003821DD" w:rsidRPr="00F95299">
        <w:rPr>
          <w:iCs/>
          <w:color w:val="1F497D" w:themeColor="text2"/>
          <w:sz w:val="18"/>
          <w:szCs w:val="18"/>
        </w:rPr>
        <w:t>. “#</w:t>
      </w:r>
      <w:proofErr w:type="spellStart"/>
      <w:r w:rsidR="003821DD" w:rsidRPr="00F95299">
        <w:rPr>
          <w:iCs/>
          <w:color w:val="1F497D" w:themeColor="text2"/>
          <w:sz w:val="18"/>
          <w:szCs w:val="18"/>
        </w:rPr>
        <w:t>QueTiembleBankia</w:t>
      </w:r>
      <w:proofErr w:type="spellEnd"/>
      <w:r w:rsidR="003821DD" w:rsidRPr="00F95299">
        <w:rPr>
          <w:iCs/>
          <w:color w:val="1F497D" w:themeColor="text2"/>
          <w:sz w:val="18"/>
          <w:szCs w:val="18"/>
        </w:rPr>
        <w:t xml:space="preserve">. (Bankia trembles) </w:t>
      </w:r>
      <w:proofErr w:type="spellStart"/>
      <w:r w:rsidR="003821DD" w:rsidRPr="00F95299">
        <w:rPr>
          <w:iCs/>
          <w:color w:val="1F497D" w:themeColor="text2"/>
          <w:sz w:val="18"/>
          <w:szCs w:val="18"/>
        </w:rPr>
        <w:t>PrePAHrateBANKIA</w:t>
      </w:r>
      <w:proofErr w:type="spellEnd"/>
      <w:r w:rsidR="003821DD" w:rsidRPr="00F95299">
        <w:rPr>
          <w:iCs/>
          <w:color w:val="1F497D" w:themeColor="text2"/>
          <w:sz w:val="18"/>
          <w:szCs w:val="18"/>
        </w:rPr>
        <w:t xml:space="preserve">. (prepare yourselves </w:t>
      </w:r>
      <w:proofErr w:type="gramStart"/>
      <w:r w:rsidR="003821DD" w:rsidRPr="00F95299">
        <w:rPr>
          <w:iCs/>
          <w:color w:val="1F497D" w:themeColor="text2"/>
          <w:sz w:val="18"/>
          <w:szCs w:val="18"/>
        </w:rPr>
        <w:t>Bankia)  #</w:t>
      </w:r>
      <w:proofErr w:type="gramEnd"/>
      <w:r w:rsidR="003821DD" w:rsidRPr="00F95299">
        <w:rPr>
          <w:iCs/>
          <w:color w:val="1F497D" w:themeColor="text2"/>
          <w:sz w:val="18"/>
          <w:szCs w:val="18"/>
        </w:rPr>
        <w:t xml:space="preserve">BancaCriminal” (criminal banking).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Bankia action. Twitter, 22 April 2015. </w:t>
      </w:r>
      <w:hyperlink r:id="rId9" w:tgtFrame="_blank" w:history="1">
        <w:r w:rsidR="003821DD" w:rsidRPr="00F95299">
          <w:rPr>
            <w:iCs/>
            <w:color w:val="1F497D" w:themeColor="text2"/>
          </w:rPr>
          <w:t>https://twitter.com/loansepuede</w:t>
        </w:r>
      </w:hyperlink>
    </w:p>
    <w:p w14:paraId="31B2FCD1" w14:textId="337F5753" w:rsidR="003821DD" w:rsidRPr="00F95299" w:rsidRDefault="00315C64" w:rsidP="003821DD">
      <w:pPr>
        <w:rPr>
          <w:sz w:val="18"/>
          <w:szCs w:val="18"/>
          <w:lang w:val="en-NZ"/>
        </w:rPr>
      </w:pPr>
      <w:r>
        <w:t xml:space="preserve">2. </w:t>
      </w:r>
      <w:r w:rsidR="003821DD" w:rsidRPr="00F95299">
        <w:rPr>
          <w:color w:val="212121"/>
          <w:sz w:val="18"/>
          <w:szCs w:val="18"/>
        </w:rPr>
        <w:t xml:space="preserve">Tweet from the </w:t>
      </w:r>
      <w:proofErr w:type="spellStart"/>
      <w:r w:rsidR="003821DD" w:rsidRPr="00F95299">
        <w:rPr>
          <w:color w:val="212121"/>
          <w:sz w:val="18"/>
          <w:szCs w:val="18"/>
        </w:rPr>
        <w:t>PrePAHrate</w:t>
      </w:r>
      <w:proofErr w:type="spellEnd"/>
      <w:r w:rsidR="003821DD" w:rsidRPr="00F95299">
        <w:rPr>
          <w:color w:val="212121"/>
          <w:sz w:val="18"/>
          <w:szCs w:val="18"/>
        </w:rPr>
        <w:t xml:space="preserve"> campaign: “León eats </w:t>
      </w:r>
      <w:proofErr w:type="spellStart"/>
      <w:r w:rsidR="003821DD" w:rsidRPr="00F95299">
        <w:rPr>
          <w:color w:val="212121"/>
          <w:sz w:val="18"/>
          <w:szCs w:val="18"/>
        </w:rPr>
        <w:t>Bankias</w:t>
      </w:r>
      <w:proofErr w:type="spellEnd"/>
      <w:r w:rsidR="003821DD" w:rsidRPr="00F95299">
        <w:rPr>
          <w:color w:val="212121"/>
          <w:sz w:val="18"/>
          <w:szCs w:val="18"/>
        </w:rPr>
        <w:t>. You are going to swell up!!!!”</w:t>
      </w:r>
      <w:r w:rsidR="003821DD" w:rsidRPr="00F95299">
        <w:rPr>
          <w:sz w:val="18"/>
          <w:szCs w:val="18"/>
          <w:lang w:val="en-NZ"/>
        </w:rPr>
        <w:t xml:space="preserve"> </w:t>
      </w:r>
      <w:r w:rsidR="003821DD" w:rsidRPr="00F95299">
        <w:rPr>
          <w:color w:val="212121"/>
          <w:sz w:val="18"/>
          <w:szCs w:val="18"/>
        </w:rPr>
        <w:t xml:space="preserve">@PAHSantaPola. @MENU PARA HOY: León come </w:t>
      </w:r>
      <w:proofErr w:type="spellStart"/>
      <w:r w:rsidR="003821DD" w:rsidRPr="00F95299">
        <w:rPr>
          <w:color w:val="212121"/>
          <w:sz w:val="18"/>
          <w:szCs w:val="18"/>
        </w:rPr>
        <w:t>Bankias</w:t>
      </w:r>
      <w:proofErr w:type="spellEnd"/>
      <w:r w:rsidR="003821DD" w:rsidRPr="00F95299">
        <w:rPr>
          <w:color w:val="212121"/>
          <w:sz w:val="18"/>
          <w:szCs w:val="18"/>
        </w:rPr>
        <w:t xml:space="preserve">. OS </w:t>
      </w:r>
      <w:proofErr w:type="spellStart"/>
      <w:r w:rsidR="003821DD" w:rsidRPr="00F95299">
        <w:rPr>
          <w:color w:val="212121"/>
          <w:sz w:val="18"/>
          <w:szCs w:val="18"/>
        </w:rPr>
        <w:t>Vais</w:t>
      </w:r>
      <w:proofErr w:type="spellEnd"/>
      <w:r w:rsidR="003821DD" w:rsidRPr="00F95299">
        <w:rPr>
          <w:color w:val="212121"/>
          <w:sz w:val="18"/>
          <w:szCs w:val="18"/>
        </w:rPr>
        <w:t xml:space="preserve"> a </w:t>
      </w:r>
      <w:proofErr w:type="spellStart"/>
      <w:r w:rsidR="003821DD" w:rsidRPr="00F95299">
        <w:rPr>
          <w:color w:val="212121"/>
          <w:sz w:val="18"/>
          <w:szCs w:val="18"/>
        </w:rPr>
        <w:t>hinchar</w:t>
      </w:r>
      <w:proofErr w:type="spellEnd"/>
      <w:r w:rsidR="003821DD" w:rsidRPr="00F95299">
        <w:rPr>
          <w:color w:val="212121"/>
          <w:sz w:val="18"/>
          <w:szCs w:val="18"/>
        </w:rPr>
        <w:t xml:space="preserve">!!!! (León eats </w:t>
      </w:r>
      <w:proofErr w:type="spellStart"/>
      <w:r w:rsidR="003821DD" w:rsidRPr="00F95299">
        <w:rPr>
          <w:color w:val="212121"/>
          <w:sz w:val="18"/>
          <w:szCs w:val="18"/>
        </w:rPr>
        <w:t>Bankias</w:t>
      </w:r>
      <w:proofErr w:type="spellEnd"/>
      <w:r w:rsidR="003821DD" w:rsidRPr="00F95299">
        <w:rPr>
          <w:color w:val="212121"/>
          <w:sz w:val="18"/>
          <w:szCs w:val="18"/>
        </w:rPr>
        <w:t>.</w:t>
      </w:r>
      <w:r w:rsidR="003821DD" w:rsidRPr="00F95299">
        <w:rPr>
          <w:rStyle w:val="apple-converted-space"/>
          <w:color w:val="212121"/>
          <w:sz w:val="18"/>
          <w:szCs w:val="18"/>
        </w:rPr>
        <w:t> </w:t>
      </w:r>
      <w:r w:rsidR="003821DD" w:rsidRPr="00F95299">
        <w:rPr>
          <w:color w:val="212121"/>
          <w:sz w:val="18"/>
          <w:szCs w:val="18"/>
        </w:rPr>
        <w:t>You are going to swell up!!!!)  </w:t>
      </w:r>
      <w:hyperlink r:id="rId10" w:tgtFrame="_blank" w:history="1">
        <w:r w:rsidR="003821DD" w:rsidRPr="00F95299">
          <w:rPr>
            <w:rStyle w:val="Hyperlink"/>
            <w:color w:val="DCA10D"/>
            <w:sz w:val="18"/>
            <w:szCs w:val="18"/>
          </w:rPr>
          <w:t>#PrePAHrateBankia</w:t>
        </w:r>
      </w:hyperlink>
      <w:r w:rsidR="003821DD" w:rsidRPr="00F95299">
        <w:rPr>
          <w:color w:val="212121"/>
          <w:sz w:val="18"/>
          <w:szCs w:val="18"/>
        </w:rPr>
        <w:t>.” </w:t>
      </w:r>
      <w:proofErr w:type="spellStart"/>
      <w:r w:rsidR="003821DD" w:rsidRPr="00F95299">
        <w:rPr>
          <w:color w:val="212121"/>
          <w:sz w:val="18"/>
          <w:szCs w:val="18"/>
        </w:rPr>
        <w:t>PrePAHRate</w:t>
      </w:r>
      <w:proofErr w:type="spellEnd"/>
      <w:r w:rsidR="003821DD" w:rsidRPr="00F95299">
        <w:rPr>
          <w:color w:val="212121"/>
          <w:sz w:val="18"/>
          <w:szCs w:val="18"/>
        </w:rPr>
        <w:t xml:space="preserve"> Bankia action. Twitter, 22 April 2015. </w:t>
      </w:r>
      <w:hyperlink r:id="rId11" w:tgtFrame="_blank" w:history="1">
        <w:r w:rsidR="003821DD" w:rsidRPr="00F95299">
          <w:rPr>
            <w:rStyle w:val="Hyperlink"/>
            <w:sz w:val="18"/>
            <w:szCs w:val="18"/>
          </w:rPr>
          <w:t>https://twitter.com/PAHSantaPola</w:t>
        </w:r>
      </w:hyperlink>
    </w:p>
    <w:p w14:paraId="3A99AA34" w14:textId="3144488E" w:rsidR="003821DD" w:rsidRPr="00F95299" w:rsidRDefault="00315C64" w:rsidP="003821DD">
      <w:pPr>
        <w:rPr>
          <w:rStyle w:val="None"/>
          <w:i/>
          <w:iCs/>
          <w:color w:val="1F497D" w:themeColor="text2"/>
        </w:rPr>
      </w:pPr>
      <w:r>
        <w:t xml:space="preserve">3. </w:t>
      </w:r>
      <w:r w:rsidR="003821DD" w:rsidRPr="00F95299">
        <w:t xml:space="preserve">Image from The </w:t>
      </w:r>
      <w:proofErr w:type="spellStart"/>
      <w:r w:rsidR="003821DD" w:rsidRPr="00F95299">
        <w:t>Obra</w:t>
      </w:r>
      <w:proofErr w:type="spellEnd"/>
      <w:r w:rsidR="003821DD" w:rsidRPr="00F95299">
        <w:t xml:space="preserve"> Social Manual. Collective Recuperations. Translated by Michelle Teran. Original Spanish version by the PAH. Journal of Aesthetics &amp; Protest, 2016, pg. 10.</w:t>
      </w:r>
    </w:p>
    <w:p w14:paraId="00000064" w14:textId="464906CE" w:rsidR="00BE32F2" w:rsidRPr="003821DD" w:rsidRDefault="00315C64" w:rsidP="00315C64">
      <w:r>
        <w:lastRenderedPageBreak/>
        <w:t xml:space="preserve">4. </w:t>
      </w:r>
      <w:r w:rsidR="003821DD" w:rsidRPr="00F95299">
        <w:t xml:space="preserve">No </w:t>
      </w:r>
      <w:proofErr w:type="spellStart"/>
      <w:r w:rsidR="003821DD" w:rsidRPr="00F95299">
        <w:t>Somos</w:t>
      </w:r>
      <w:proofErr w:type="spellEnd"/>
      <w:r w:rsidR="003821DD" w:rsidRPr="00F95299">
        <w:t xml:space="preserve"> </w:t>
      </w:r>
      <w:proofErr w:type="spellStart"/>
      <w:r w:rsidR="003821DD" w:rsidRPr="00F95299">
        <w:t>Números</w:t>
      </w:r>
      <w:proofErr w:type="spellEnd"/>
      <w:r w:rsidR="003821DD" w:rsidRPr="00F95299">
        <w:t xml:space="preserve">. </w:t>
      </w:r>
      <w:proofErr w:type="spellStart"/>
      <w:r w:rsidR="003821DD" w:rsidRPr="00F95299">
        <w:t>ction</w:t>
      </w:r>
      <w:proofErr w:type="spellEnd"/>
      <w:r w:rsidR="003821DD" w:rsidRPr="00F95299">
        <w:t xml:space="preserve"> by </w:t>
      </w:r>
      <w:proofErr w:type="spellStart"/>
      <w:r w:rsidR="003821DD" w:rsidRPr="00F95299">
        <w:t>Enmedio</w:t>
      </w:r>
      <w:proofErr w:type="spellEnd"/>
      <w:r w:rsidR="003821DD" w:rsidRPr="00F95299">
        <w:t xml:space="preserve">. 11 January 2013. Photo by: Oriana </w:t>
      </w:r>
      <w:proofErr w:type="spellStart"/>
      <w:r w:rsidR="003821DD" w:rsidRPr="00F95299">
        <w:t>Eliçabe</w:t>
      </w:r>
      <w:proofErr w:type="spellEnd"/>
      <w:r w:rsidR="003821DD" w:rsidRPr="00F95299">
        <w:t>, Fotomovimiento.org y Consuelo Bautista.</w:t>
      </w:r>
    </w:p>
    <w:sectPr w:rsidR="00BE32F2" w:rsidRPr="003821DD">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7CEF4" w14:textId="77777777" w:rsidR="007D4E86" w:rsidRDefault="007D4E86">
      <w:r>
        <w:separator/>
      </w:r>
    </w:p>
  </w:endnote>
  <w:endnote w:type="continuationSeparator" w:id="0">
    <w:p w14:paraId="6449EC11" w14:textId="77777777" w:rsidR="007D4E86" w:rsidRDefault="007D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51E05" w14:textId="77777777" w:rsidR="007D4E86" w:rsidRDefault="007D4E86">
      <w:r>
        <w:separator/>
      </w:r>
    </w:p>
  </w:footnote>
  <w:footnote w:type="continuationSeparator" w:id="0">
    <w:p w14:paraId="2BAEFE79" w14:textId="77777777" w:rsidR="007D4E86" w:rsidRDefault="007D4E86">
      <w:r>
        <w:continuationSeparator/>
      </w:r>
    </w:p>
  </w:footnote>
  <w:footnote w:id="1">
    <w:p w14:paraId="4CF037FF" w14:textId="77777777" w:rsidR="003821DD" w:rsidRPr="00F95299" w:rsidRDefault="003821DD" w:rsidP="003821DD">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36A102A3" w14:textId="77777777" w:rsidR="003821DD" w:rsidRDefault="003821DD" w:rsidP="003821DD">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is a psychologist and member of the Podemos party since 2014. Montero left the PAH and joined Podemos one year after the pilot research. Since February 2017, she has been the Spokesperson for the Parliamentary Group Unidos Podemos-</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Podem</w:t>
      </w:r>
      <w:proofErr w:type="spellEnd"/>
      <w:r>
        <w:rPr>
          <w:rStyle w:val="None"/>
          <w:color w:val="222222"/>
          <w:u w:color="222222"/>
          <w:shd w:val="clear" w:color="auto" w:fill="FFFFFF"/>
        </w:rPr>
        <w:t xml:space="preserve">-Galicia </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Común</w:t>
      </w:r>
      <w:proofErr w:type="spellEnd"/>
      <w:r>
        <w:rPr>
          <w:rStyle w:val="None"/>
          <w:color w:val="222222"/>
          <w:u w:color="222222"/>
          <w:shd w:val="clear" w:color="auto" w:fill="FFFFFF"/>
        </w:rPr>
        <w:t xml:space="preserve"> in Congress. </w:t>
      </w:r>
    </w:p>
  </w:footnote>
  <w:footnote w:id="3">
    <w:p w14:paraId="59EEE840" w14:textId="77777777" w:rsidR="003821DD" w:rsidRDefault="003821DD" w:rsidP="003821DD">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3D50D291" w14:textId="77777777" w:rsidR="003821DD" w:rsidRDefault="003821DD" w:rsidP="003821DD">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w:t>
      </w:r>
      <w:proofErr w:type="spellStart"/>
      <w:r>
        <w:rPr>
          <w:rStyle w:val="None"/>
        </w:rPr>
        <w:t>Bärtås</w:t>
      </w:r>
      <w:proofErr w:type="spellEnd"/>
      <w:r>
        <w:rPr>
          <w:rStyle w:val="None"/>
        </w:rPr>
        <w:t xml:space="preserve">, Andrej </w:t>
      </w:r>
      <w:proofErr w:type="spellStart"/>
      <w:r>
        <w:rPr>
          <w:rStyle w:val="None"/>
        </w:rPr>
        <w:t>Slávik</w:t>
      </w:r>
      <w:proofErr w:type="spellEnd"/>
      <w:r>
        <w:rPr>
          <w:rStyle w:val="None"/>
        </w:rPr>
        <w:t xml:space="preserve">, and Michelle Teran under the auspices of the artistic research project Microhistories. Funded by the Swedish Research Council. </w:t>
      </w:r>
    </w:p>
  </w:footnote>
  <w:footnote w:id="5">
    <w:p w14:paraId="60AACD0E" w14:textId="77777777" w:rsidR="003821DD" w:rsidRDefault="003821DD" w:rsidP="003821DD">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w:t>
      </w:r>
      <w:proofErr w:type="spellStart"/>
      <w:r>
        <w:rPr>
          <w:rStyle w:val="None"/>
        </w:rPr>
        <w:t>Marga</w:t>
      </w:r>
      <w:proofErr w:type="spellEnd"/>
      <w:r>
        <w:rPr>
          <w:rStyle w:val="None"/>
        </w:rPr>
        <w:t xml:space="preserve"> Rivas, </w:t>
      </w:r>
      <w:proofErr w:type="spellStart"/>
      <w:r>
        <w:rPr>
          <w:rStyle w:val="None"/>
        </w:rPr>
        <w:t>portavoz</w:t>
      </w:r>
      <w:proofErr w:type="spellEnd"/>
      <w:r>
        <w:rPr>
          <w:rStyle w:val="None"/>
        </w:rPr>
        <w:t xml:space="preserve"> de la PAH: “</w:t>
      </w:r>
      <w:proofErr w:type="spellStart"/>
      <w:r>
        <w:rPr>
          <w:rStyle w:val="None"/>
        </w:rPr>
        <w:t>hemos</w:t>
      </w:r>
      <w:proofErr w:type="spellEnd"/>
      <w:r>
        <w:rPr>
          <w:rStyle w:val="None"/>
        </w:rPr>
        <w:t xml:space="preserve"> visto 4 o 5 </w:t>
      </w:r>
      <w:proofErr w:type="spellStart"/>
      <w:r>
        <w:rPr>
          <w:rStyle w:val="None"/>
        </w:rPr>
        <w:t>desahucios</w:t>
      </w:r>
      <w:proofErr w:type="spellEnd"/>
      <w:r>
        <w:rPr>
          <w:rStyle w:val="None"/>
        </w:rPr>
        <w:t xml:space="preserve"> </w:t>
      </w:r>
      <w:proofErr w:type="spellStart"/>
      <w:r>
        <w:rPr>
          <w:rStyle w:val="None"/>
        </w:rPr>
        <w:t>diarios</w:t>
      </w:r>
      <w:proofErr w:type="spellEnd"/>
      <w:r>
        <w:rPr>
          <w:rStyle w:val="None"/>
        </w:rPr>
        <w:t xml:space="preserve"> </w:t>
      </w:r>
      <w:proofErr w:type="spellStart"/>
      <w:r>
        <w:rPr>
          <w:rStyle w:val="None"/>
        </w:rPr>
        <w:t>durante</w:t>
      </w:r>
      <w:proofErr w:type="spellEnd"/>
      <w:r>
        <w:rPr>
          <w:rStyle w:val="None"/>
        </w:rPr>
        <w:t xml:space="preserve"> el </w:t>
      </w:r>
      <w:proofErr w:type="spellStart"/>
      <w:r>
        <w:rPr>
          <w:rStyle w:val="None"/>
        </w:rPr>
        <w:t>mandato</w:t>
      </w:r>
      <w:proofErr w:type="spellEnd"/>
      <w:r>
        <w:rPr>
          <w:rStyle w:val="None"/>
        </w:rPr>
        <w:t xml:space="preserve"> de </w:t>
      </w:r>
      <w:proofErr w:type="spellStart"/>
      <w:r>
        <w:rPr>
          <w:rStyle w:val="None"/>
        </w:rPr>
        <w:t>Carmena</w:t>
      </w:r>
      <w:proofErr w:type="spellEnd"/>
      <w:r>
        <w:rPr>
          <w:rStyle w:val="None"/>
        </w:rPr>
        <w:t xml:space="preserve">”’, Disquierdaiario.es, July 2, 2019, </w:t>
      </w:r>
      <w:r w:rsidRPr="00D8330C">
        <w:rPr>
          <w:rStyle w:val="None"/>
        </w:rPr>
        <w:t>https://www.izquierdadiario.es/Marga-Rivas-portavoz-de-la-PAH-hemos-visto-4-o-5-desahucios-diarios-durante-el-mandato-de-Manuela.</w:t>
      </w:r>
    </w:p>
  </w:footnote>
  <w:footnote w:id="6">
    <w:p w14:paraId="13897DC3" w14:textId="77777777" w:rsidR="003821DD" w:rsidRDefault="003821DD" w:rsidP="003821DD">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 xml:space="preserve">Hoy presentamos nuestra nueva campaña contra la criminalización de la </w:t>
      </w:r>
      <w:proofErr w:type="spellStart"/>
      <w:r>
        <w:rPr>
          <w:rStyle w:val="None"/>
          <w:rFonts w:eastAsia="Arial Unicode MS" w:cs="Arial Unicode MS"/>
          <w:lang w:val="es-ES_tradnl"/>
        </w:rPr>
        <w:t>ocupació</w:t>
      </w:r>
      <w:proofErr w:type="spellEnd"/>
      <w:r>
        <w:rPr>
          <w:rStyle w:val="None"/>
          <w:rFonts w:eastAsia="Arial Unicode MS" w:cs="Arial Unicode MS"/>
        </w:rPr>
        <w:t>n’,</w:t>
      </w:r>
      <w:r>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w:t>
        </w:r>
        <w:proofErr w:type="spellStart"/>
        <w:r w:rsidRPr="00A87D9C">
          <w:rPr>
            <w:rStyle w:val="Hyperlink"/>
          </w:rPr>
          <w:t>ObraSocial_PAH</w:t>
        </w:r>
        <w:proofErr w:type="spellEnd"/>
        <w:r w:rsidRPr="00A87D9C">
          <w:rPr>
            <w:rStyle w:val="Hyperlink"/>
          </w:rPr>
          <w:t>/</w:t>
        </w:r>
      </w:hyperlink>
      <w:r>
        <w:rPr>
          <w:rStyle w:val="None"/>
        </w:rPr>
        <w:t>.</w:t>
      </w:r>
    </w:p>
  </w:footnote>
  <w:footnote w:id="7">
    <w:p w14:paraId="1CAA55FE" w14:textId="77777777" w:rsidR="003821DD" w:rsidRDefault="003821DD" w:rsidP="003821DD">
      <w:pPr>
        <w:pStyle w:val="Kop6"/>
      </w:pPr>
      <w:r>
        <w:rPr>
          <w:rStyle w:val="None"/>
          <w:sz w:val="24"/>
          <w:szCs w:val="24"/>
          <w:vertAlign w:val="superscript"/>
        </w:rPr>
        <w:footnoteRef/>
      </w:r>
      <w:r>
        <w:rPr>
          <w:rStyle w:val="None"/>
        </w:rPr>
        <w:t xml:space="preserve"> Gutiérrez, Bernardo. ‘Diez Claves </w:t>
      </w:r>
      <w:proofErr w:type="spellStart"/>
      <w:r>
        <w:rPr>
          <w:rStyle w:val="None"/>
        </w:rPr>
        <w:t>Sobre</w:t>
      </w:r>
      <w:proofErr w:type="spellEnd"/>
      <w:r>
        <w:rPr>
          <w:rStyle w:val="None"/>
        </w:rPr>
        <w:t xml:space="preserve"> La </w:t>
      </w:r>
      <w:proofErr w:type="spellStart"/>
      <w:r>
        <w:rPr>
          <w:rStyle w:val="None"/>
        </w:rPr>
        <w:t>Innovación</w:t>
      </w:r>
      <w:proofErr w:type="spellEnd"/>
      <w:r>
        <w:rPr>
          <w:rStyle w:val="None"/>
        </w:rPr>
        <w:t xml:space="preserve"> De La #ManuelaManía.’ </w:t>
      </w:r>
      <w:proofErr w:type="spellStart"/>
      <w:r>
        <w:rPr>
          <w:rStyle w:val="None"/>
          <w:i/>
          <w:iCs/>
        </w:rPr>
        <w:t>Yorokobu</w:t>
      </w:r>
      <w:proofErr w:type="spellEnd"/>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4DB1B4EF" w14:textId="77777777" w:rsidR="003821DD" w:rsidRPr="00F95299" w:rsidRDefault="003821DD" w:rsidP="003821DD">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 xml:space="preserve">Ex-IMF </w:t>
      </w:r>
      <w:proofErr w:type="spellStart"/>
      <w:r w:rsidRPr="00D8330C">
        <w:rPr>
          <w:rStyle w:val="Link"/>
          <w:color w:val="auto"/>
          <w:lang w:val="it-IT"/>
        </w:rPr>
        <w:t>chief</w:t>
      </w:r>
      <w:proofErr w:type="spellEnd"/>
      <w:r w:rsidRPr="00D8330C">
        <w:rPr>
          <w:rStyle w:val="Link"/>
          <w:color w:val="auto"/>
          <w:lang w:val="it-IT"/>
        </w:rPr>
        <w:t xml:space="preserve"> Rodrigo Rato</w:t>
      </w:r>
      <w:r w:rsidRPr="00D8330C">
        <w:rPr>
          <w:rStyle w:val="Link"/>
          <w:color w:val="auto"/>
        </w:rPr>
        <w:t>’s home and office searched in Spain’, April 16, 2015,</w:t>
      </w:r>
      <w:r>
        <w:rPr>
          <w:rStyle w:val="None"/>
          <w:rFonts w:ascii="Helvetica" w:eastAsia="Helvetica" w:hAnsi="Helvetica" w:cs="Helvetica"/>
          <w:b w:val="0"/>
          <w:bCs/>
          <w:kern w:val="36"/>
          <w:sz w:val="48"/>
          <w:szCs w:val="48"/>
          <w:u w:color="1E1E1E"/>
        </w:rPr>
        <w:t xml:space="preserve"> </w:t>
      </w:r>
      <w:hyperlink r:id="rId6" w:history="1">
        <w:r w:rsidRPr="000A4048">
          <w:rPr>
            <w:rStyle w:val="Hyperlink"/>
          </w:rPr>
          <w:t>www.bbc.com/news/world-europe-32335842</w:t>
        </w:r>
      </w:hyperlink>
      <w:r w:rsidRPr="00D8330C">
        <w:rPr>
          <w:rStyle w:val="None"/>
        </w:rPr>
        <w:t>.</w:t>
      </w:r>
    </w:p>
  </w:footnote>
  <w:footnote w:id="9">
    <w:p w14:paraId="35770F7D" w14:textId="77777777" w:rsidR="003821DD" w:rsidRDefault="003821DD" w:rsidP="003821DD">
      <w:pPr>
        <w:pStyle w:val="Kop6"/>
      </w:pPr>
      <w:r>
        <w:rPr>
          <w:rStyle w:val="None"/>
          <w:sz w:val="24"/>
          <w:szCs w:val="24"/>
          <w:vertAlign w:val="superscript"/>
        </w:rPr>
        <w:footnoteRef/>
      </w:r>
      <w:r>
        <w:rPr>
          <w:rStyle w:val="None"/>
        </w:rPr>
        <w:t xml:space="preserve"> ‘</w:t>
      </w:r>
      <w:proofErr w:type="spellStart"/>
      <w:r>
        <w:rPr>
          <w:rStyle w:val="None"/>
        </w:rPr>
        <w:t>Habrá</w:t>
      </w:r>
      <w:proofErr w:type="spellEnd"/>
      <w:r>
        <w:rPr>
          <w:rStyle w:val="None"/>
        </w:rPr>
        <w:t xml:space="preserve"> Más </w:t>
      </w:r>
      <w:proofErr w:type="spellStart"/>
      <w:r>
        <w:rPr>
          <w:rStyle w:val="None"/>
        </w:rPr>
        <w:t>Desahucios</w:t>
      </w:r>
      <w:proofErr w:type="spellEnd"/>
      <w:r>
        <w:rPr>
          <w:rStyle w:val="None"/>
        </w:rPr>
        <w:t xml:space="preserve"> Sin </w:t>
      </w:r>
      <w:proofErr w:type="spellStart"/>
      <w:r>
        <w:rPr>
          <w:rStyle w:val="None"/>
        </w:rPr>
        <w:t>Alternativa</w:t>
      </w:r>
      <w:proofErr w:type="spellEnd"/>
      <w:r>
        <w:rPr>
          <w:rStyle w:val="None"/>
        </w:rPr>
        <w:t xml:space="preserve"> </w:t>
      </w:r>
      <w:proofErr w:type="spellStart"/>
      <w:r>
        <w:rPr>
          <w:rStyle w:val="None"/>
        </w:rPr>
        <w:t>Habitacional</w:t>
      </w:r>
      <w:proofErr w:type="spellEnd"/>
      <w:r>
        <w:rPr>
          <w:rStyle w:val="None"/>
        </w:rPr>
        <w:t xml:space="preserve"> Si Bankia No Cede </w:t>
      </w:r>
      <w:proofErr w:type="spellStart"/>
      <w:r>
        <w:rPr>
          <w:rStyle w:val="None"/>
        </w:rPr>
        <w:t>Pisos</w:t>
      </w:r>
      <w:proofErr w:type="spellEnd"/>
      <w:r>
        <w:rPr>
          <w:rStyle w:val="None"/>
        </w:rPr>
        <w:t xml:space="preserve">.’ </w:t>
      </w:r>
      <w:r>
        <w:rPr>
          <w:rStyle w:val="None"/>
          <w:i/>
          <w:iCs/>
        </w:rPr>
        <w:t xml:space="preserve">Plataforma De </w:t>
      </w:r>
      <w:proofErr w:type="spellStart"/>
      <w:r>
        <w:rPr>
          <w:rStyle w:val="None"/>
          <w:i/>
          <w:iCs/>
        </w:rPr>
        <w:t>Afectados</w:t>
      </w:r>
      <w:proofErr w:type="spellEnd"/>
      <w:r>
        <w:rPr>
          <w:rStyle w:val="None"/>
          <w:i/>
          <w:iCs/>
        </w:rPr>
        <w:t xml:space="preserve"> Por La </w:t>
      </w:r>
      <w:proofErr w:type="spellStart"/>
      <w:r>
        <w:rPr>
          <w:rStyle w:val="None"/>
          <w:i/>
          <w:iCs/>
        </w:rPr>
        <w:t>Hipoteca</w:t>
      </w:r>
      <w:proofErr w:type="spellEnd"/>
      <w:r>
        <w:rPr>
          <w:rStyle w:val="None"/>
          <w:i/>
          <w:iCs/>
        </w:rPr>
        <w:t xml:space="preserve"> (PAH)</w:t>
      </w:r>
      <w:r>
        <w:rPr>
          <w:rStyle w:val="None"/>
        </w:rPr>
        <w:t>, 11 February 2016, afectadosporlahipoteca.com/2016/02/11/habra-mas-desahucios-sin-alternativa-habitacional-si-bankia-no-cede-pisos-2/.</w:t>
      </w:r>
    </w:p>
  </w:footnote>
  <w:footnote w:id="10">
    <w:p w14:paraId="339A0002" w14:textId="77777777" w:rsidR="003821DD" w:rsidRPr="00F95299" w:rsidRDefault="003821DD" w:rsidP="003821DD">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 xml:space="preserve">‘No </w:t>
      </w:r>
      <w:proofErr w:type="spellStart"/>
      <w:r w:rsidRPr="001B64A8">
        <w:rPr>
          <w:rStyle w:val="None"/>
          <w:rFonts w:cs="Arial Unicode MS"/>
          <w:color w:val="000000"/>
          <w:u w:color="000000"/>
          <w14:textOutline w14:w="0" w14:cap="flat" w14:cmpd="sng" w14:algn="ctr">
            <w14:noFill/>
            <w14:prstDash w14:val="solid"/>
            <w14:bevel/>
          </w14:textOutline>
        </w:rPr>
        <w:t>Somos</w:t>
      </w:r>
      <w:proofErr w:type="spellEnd"/>
      <w:r w:rsidRPr="001B64A8">
        <w:rPr>
          <w:rStyle w:val="None"/>
          <w:rFonts w:cs="Arial Unicode MS"/>
          <w:color w:val="000000"/>
          <w:u w:color="000000"/>
          <w14:textOutline w14:w="0" w14:cap="flat" w14:cmpd="sng" w14:algn="ctr">
            <w14:noFill/>
            <w14:prstDash w14:val="solid"/>
            <w14:bevel/>
          </w14:textOutline>
        </w:rPr>
        <w:t xml:space="preserve"> </w:t>
      </w:r>
      <w:proofErr w:type="spellStart"/>
      <w:r w:rsidRPr="001B64A8">
        <w:rPr>
          <w:rStyle w:val="None"/>
          <w:rFonts w:cs="Arial Unicode MS"/>
          <w:color w:val="000000"/>
          <w:u w:color="000000"/>
          <w14:textOutline w14:w="0" w14:cap="flat" w14:cmpd="sng" w14:algn="ctr">
            <w14:noFill/>
            <w14:prstDash w14:val="solid"/>
            <w14:bevel/>
          </w14:textOutline>
        </w:rPr>
        <w:t>Números</w:t>
      </w:r>
      <w:proofErr w:type="spellEnd"/>
      <w:r w:rsidRPr="001B64A8">
        <w:rPr>
          <w:rStyle w:val="None"/>
          <w:rFonts w:cs="Arial Unicode MS"/>
          <w:color w:val="000000"/>
          <w:u w:color="000000"/>
          <w14:textOutline w14:w="0" w14:cap="flat" w14:cmpd="sng" w14:algn="ctr">
            <w14:noFill/>
            <w14:prstDash w14:val="solid"/>
            <w14:bevel/>
          </w14:textOutline>
        </w:rPr>
        <w:t>’, </w:t>
      </w:r>
      <w:proofErr w:type="spellStart"/>
      <w:r w:rsidRPr="001B64A8">
        <w:rPr>
          <w:rStyle w:val="None"/>
          <w:rFonts w:cs="Arial Unicode MS"/>
          <w:color w:val="000000"/>
          <w:u w:color="000000"/>
          <w14:textOutline w14:w="0" w14:cap="flat" w14:cmpd="sng" w14:algn="ctr">
            <w14:noFill/>
            <w14:prstDash w14:val="solid"/>
            <w14:bevel/>
          </w14:textOutline>
        </w:rPr>
        <w:t>Enmedio</w:t>
      </w:r>
      <w:proofErr w:type="spellEnd"/>
      <w:r w:rsidRPr="001B64A8">
        <w:rPr>
          <w:rStyle w:val="None"/>
          <w:rFonts w:cs="Arial Unicode MS"/>
          <w:color w:val="000000"/>
          <w:u w:color="000000"/>
          <w14:textOutline w14:w="0" w14:cap="flat" w14:cmpd="sng" w14:algn="ctr">
            <w14:noFill/>
            <w14:prstDash w14:val="solid"/>
            <w14:bevel/>
          </w14:textOutline>
        </w:rPr>
        <w:t>,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35FF1F26" w14:textId="77777777" w:rsidR="003821DD" w:rsidRDefault="003821DD" w:rsidP="003821DD">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175AC727" w14:textId="77777777" w:rsidR="003821DD" w:rsidRDefault="003821DD" w:rsidP="003821DD">
      <w:pPr>
        <w:pStyle w:val="Kop6"/>
      </w:pPr>
      <w:r>
        <w:rPr>
          <w:rStyle w:val="None"/>
          <w:sz w:val="24"/>
          <w:szCs w:val="24"/>
          <w:vertAlign w:val="superscript"/>
        </w:rPr>
        <w:footnoteRef/>
      </w:r>
      <w:r>
        <w:rPr>
          <w:rStyle w:val="None"/>
        </w:rPr>
        <w:t xml:space="preserve"> This question emerges from conversations around The </w:t>
      </w:r>
      <w:proofErr w:type="spellStart"/>
      <w:r>
        <w:rPr>
          <w:rStyle w:val="None"/>
        </w:rPr>
        <w:t>Neighbourhood</w:t>
      </w:r>
      <w:proofErr w:type="spellEnd"/>
      <w:r>
        <w:rPr>
          <w:rStyle w:val="None"/>
        </w:rPr>
        <w:t xml:space="preserve"> Academy, a project of self-organized participatory education outside of the academy structured around notions of deep time learning ninety-nine years. It is being developed together with Marc Herbst, Marco Clausen and Asa </w:t>
      </w:r>
      <w:proofErr w:type="spellStart"/>
      <w:r>
        <w:rPr>
          <w:rStyle w:val="None"/>
        </w:rPr>
        <w:t>Sonjasdotter</w:t>
      </w:r>
      <w:proofErr w:type="spellEnd"/>
      <w:r>
        <w:rPr>
          <w:rStyle w:val="None"/>
        </w:rPr>
        <w:t xml:space="preserve">, and taking place in the </w:t>
      </w:r>
      <w:proofErr w:type="spellStart"/>
      <w:r>
        <w:rPr>
          <w:rStyle w:val="None"/>
        </w:rPr>
        <w:t>Prinzessinnengarten</w:t>
      </w:r>
      <w:proofErr w:type="spellEnd"/>
      <w:r>
        <w:rPr>
          <w:rStyle w:val="None"/>
        </w:rPr>
        <w:t xml:space="preserve">, Berlin. </w:t>
      </w:r>
    </w:p>
  </w:footnote>
  <w:footnote w:id="13">
    <w:p w14:paraId="1096EE8D" w14:textId="77777777" w:rsidR="003821DD" w:rsidRDefault="003821DD" w:rsidP="003821DD">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094A405D" w14:textId="77777777" w:rsidR="003821DD" w:rsidRPr="00D8330C" w:rsidRDefault="003821DD" w:rsidP="003821DD">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proofErr w:type="spellStart"/>
        <w:r w:rsidRPr="00D8330C">
          <w:rPr>
            <w:rStyle w:val="Hyperlink"/>
          </w:rPr>
          <w:t>rebellion.earth</w:t>
        </w:r>
        <w:proofErr w:type="spellEnd"/>
        <w:r w:rsidRPr="00D8330C">
          <w:rPr>
            <w:rStyle w:val="Hyperlink"/>
          </w:rPr>
          <w:t>/</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65116"/>
    <w:rsid w:val="000967B3"/>
    <w:rsid w:val="000B3882"/>
    <w:rsid w:val="00153352"/>
    <w:rsid w:val="001A1614"/>
    <w:rsid w:val="001F3FF2"/>
    <w:rsid w:val="00223AC4"/>
    <w:rsid w:val="00244C5C"/>
    <w:rsid w:val="00254842"/>
    <w:rsid w:val="00270639"/>
    <w:rsid w:val="002C3D53"/>
    <w:rsid w:val="00315C64"/>
    <w:rsid w:val="003821DD"/>
    <w:rsid w:val="00420430"/>
    <w:rsid w:val="00536DA7"/>
    <w:rsid w:val="005732E2"/>
    <w:rsid w:val="00574501"/>
    <w:rsid w:val="005D0F2D"/>
    <w:rsid w:val="007A327F"/>
    <w:rsid w:val="007D4E86"/>
    <w:rsid w:val="00812320"/>
    <w:rsid w:val="008146A4"/>
    <w:rsid w:val="009415C9"/>
    <w:rsid w:val="009F2E9F"/>
    <w:rsid w:val="00A46780"/>
    <w:rsid w:val="00BE32F2"/>
    <w:rsid w:val="00BE346D"/>
    <w:rsid w:val="00C420AE"/>
    <w:rsid w:val="00D2113C"/>
    <w:rsid w:val="00D75C8C"/>
    <w:rsid w:val="00DE4637"/>
    <w:rsid w:val="00E648FD"/>
    <w:rsid w:val="00EE036E"/>
    <w:rsid w:val="00F95299"/>
    <w:rsid w:val="00FC6E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120"/>
      <w:outlineLvl w:val="0"/>
    </w:pPr>
    <w:rPr>
      <w:b/>
      <w:sz w:val="48"/>
      <w:szCs w:val="48"/>
    </w:rPr>
  </w:style>
  <w:style w:type="paragraph" w:styleId="Kop2">
    <w:name w:val="heading 2"/>
    <w:basedOn w:val="Standaard"/>
    <w:next w:val="Standaard"/>
    <w:link w:val="Kop2Char"/>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link w:val="Kop4Char"/>
    <w:uiPriority w:val="9"/>
    <w:unhideWhenUsed/>
    <w:qFormat/>
    <w:rsid w:val="001A1614"/>
    <w:pPr>
      <w:ind w:left="720"/>
      <w:outlineLvl w:val="3"/>
    </w:pPr>
  </w:style>
  <w:style w:type="paragraph" w:styleId="Kop5">
    <w:name w:val="heading 5"/>
    <w:basedOn w:val="Standaard"/>
    <w:next w:val="Standaard"/>
    <w:link w:val="Kop5Char"/>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link w:val="Kop6Char"/>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 w:type="character" w:customStyle="1" w:styleId="Kop1Char">
    <w:name w:val="Kop 1 Char"/>
    <w:basedOn w:val="Standaardalinea-lettertype"/>
    <w:link w:val="Kop1"/>
    <w:uiPriority w:val="9"/>
    <w:rsid w:val="003821DD"/>
    <w:rPr>
      <w:b/>
      <w:sz w:val="48"/>
      <w:szCs w:val="48"/>
    </w:rPr>
  </w:style>
  <w:style w:type="character" w:customStyle="1" w:styleId="Kop2Char">
    <w:name w:val="Kop 2 Char"/>
    <w:basedOn w:val="Standaardalinea-lettertype"/>
    <w:link w:val="Kop2"/>
    <w:uiPriority w:val="9"/>
    <w:rsid w:val="003821DD"/>
    <w:rPr>
      <w:rFonts w:ascii="Arial" w:eastAsia="Arial" w:hAnsi="Arial" w:cs="Arial"/>
      <w:color w:val="000000"/>
      <w:sz w:val="32"/>
      <w:szCs w:val="32"/>
    </w:rPr>
  </w:style>
  <w:style w:type="character" w:customStyle="1" w:styleId="Kop4Char">
    <w:name w:val="Kop 4 Char"/>
    <w:basedOn w:val="Standaardalinea-lettertype"/>
    <w:link w:val="Kop4"/>
    <w:uiPriority w:val="9"/>
    <w:rsid w:val="003821DD"/>
  </w:style>
  <w:style w:type="character" w:customStyle="1" w:styleId="Kop5Char">
    <w:name w:val="Kop 5 Char"/>
    <w:basedOn w:val="Standaardalinea-lettertype"/>
    <w:link w:val="Kop5"/>
    <w:uiPriority w:val="9"/>
    <w:rsid w:val="003821DD"/>
    <w:rPr>
      <w:rFonts w:ascii="Helvetica Neue" w:eastAsia="Helvetica Neue" w:hAnsi="Helvetica Neue" w:cs="Helvetica Neue"/>
      <w:color w:val="366091"/>
    </w:rPr>
  </w:style>
  <w:style w:type="character" w:customStyle="1" w:styleId="Kop6Char">
    <w:name w:val="Kop 6 Char"/>
    <w:basedOn w:val="Standaardalinea-lettertype"/>
    <w:link w:val="Kop6"/>
    <w:uiPriority w:val="9"/>
    <w:rsid w:val="003821DD"/>
    <w:rPr>
      <w:b/>
      <w:sz w:val="20"/>
      <w:szCs w:val="20"/>
    </w:rPr>
  </w:style>
  <w:style w:type="paragraph" w:styleId="Lijstalinea">
    <w:name w:val="List Paragraph"/>
    <w:basedOn w:val="Standaard"/>
    <w:uiPriority w:val="34"/>
    <w:qFormat/>
    <w:rsid w:val="0031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8558</Words>
  <Characters>47070</Characters>
  <Application>Microsoft Office Word</Application>
  <DocSecurity>0</DocSecurity>
  <Lines>392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21</cp:revision>
  <dcterms:created xsi:type="dcterms:W3CDTF">2021-02-25T09:19:00Z</dcterms:created>
  <dcterms:modified xsi:type="dcterms:W3CDTF">2021-02-25T15:32:00Z</dcterms:modified>
</cp:coreProperties>
</file>