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w:t>
      </w:r>
      <w:r>
        <w:t xml:space="preserve"> </w:t>
      </w:r>
      <w:r>
        <w:t xml:space="preserve">and</w:t>
      </w:r>
      <w:r>
        <w:t xml:space="preserve"> </w:t>
      </w:r>
      <w:r>
        <w:t xml:space="preserve">Explaining</w:t>
      </w:r>
      <w:r>
        <w:t xml:space="preserve"> </w:t>
      </w:r>
      <w:r>
        <w:t xml:space="preserve">Housing</w:t>
      </w:r>
      <w:r>
        <w:t xml:space="preserve"> </w:t>
      </w:r>
      <w:r>
        <w:t xml:space="preserve">Basic-Services</w:t>
      </w:r>
      <w:r>
        <w:t xml:space="preserve"> </w:t>
      </w:r>
      <w:r>
        <w:t xml:space="preserve">Deprivation</w:t>
      </w:r>
      <w:r>
        <w:t xml:space="preserve"> </w:t>
      </w:r>
      <w:r>
        <w:t xml:space="preserve">Across</w:t>
      </w:r>
      <w:r>
        <w:t xml:space="preserve"> </w:t>
      </w:r>
      <w:r>
        <w:t xml:space="preserve">African</w:t>
      </w:r>
      <w:r>
        <w:t xml:space="preserve"> </w:t>
      </w:r>
      <w:r>
        <w:t xml:space="preserve">Countries</w:t>
      </w:r>
      <w:r>
        <w:t xml:space="preserve"> </w:t>
      </w:r>
      <w:r>
        <w:t xml:space="preserve">Using</w:t>
      </w:r>
      <w:r>
        <w:t xml:space="preserve"> </w:t>
      </w:r>
      <w:r>
        <w:t xml:space="preserve">Public</w:t>
      </w:r>
      <w:r>
        <w:t xml:space="preserve"> </w:t>
      </w:r>
      <w:r>
        <w:t xml:space="preserve">World</w:t>
      </w:r>
      <w:r>
        <w:t xml:space="preserve"> </w:t>
      </w:r>
      <w:r>
        <w:t xml:space="preserve">Bank</w:t>
      </w:r>
      <w:r>
        <w:t xml:space="preserve"> </w:t>
      </w:r>
      <w:r>
        <w:t xml:space="preserve">Indicators,</w:t>
      </w:r>
      <w:r>
        <w:t xml:space="preserve"> </w:t>
      </w:r>
      <w:r>
        <w:t xml:space="preserve">2000–2024</w:t>
      </w:r>
    </w:p>
    <w:p>
      <w:pPr>
        <w:pStyle w:val="Subtitle"/>
      </w:pPr>
      <w:r>
        <w:t xml:space="preserve">Walsh</w:t>
      </w:r>
      <w:r>
        <w:t xml:space="preserve"> </w:t>
      </w:r>
      <w:r>
        <w:t xml:space="preserve">College</w:t>
      </w:r>
      <w:r>
        <w:br/>
      </w:r>
      <w:r>
        <w:t xml:space="preserve">QM640:</w:t>
      </w:r>
      <w:r>
        <w:t xml:space="preserve"> </w:t>
      </w:r>
      <w:r>
        <w:t xml:space="preserve">Data</w:t>
      </w:r>
      <w:r>
        <w:t xml:space="preserve"> </w:t>
      </w:r>
      <w:r>
        <w:t xml:space="preserve">Analytics</w:t>
      </w:r>
      <w:r>
        <w:t xml:space="preserve"> </w:t>
      </w:r>
      <w:r>
        <w:t xml:space="preserve">Capstone</w:t>
      </w:r>
      <w:r>
        <w:br/>
      </w:r>
      <w:r>
        <w:t xml:space="preserve">Mentor:</w:t>
      </w:r>
      <w:r>
        <w:t xml:space="preserve"> </w:t>
      </w:r>
      <w:r>
        <w:t xml:space="preserve">Dr. Basu</w:t>
      </w:r>
      <w:r>
        <w:br/>
      </w:r>
      <w:r>
        <w:t xml:space="preserve">Summer</w:t>
      </w:r>
      <w:r>
        <w:t xml:space="preserve"> </w:t>
      </w:r>
      <w:r>
        <w:t xml:space="preserve">2026</w:t>
      </w:r>
      <w:r>
        <w:t xml:space="preserve"> </w:t>
      </w:r>
      <w:r>
        <w:t xml:space="preserve">Term</w:t>
      </w:r>
    </w:p>
    <w:p>
      <w:pPr>
        <w:pStyle w:val="Author"/>
      </w:pPr>
      <w:r>
        <w:t xml:space="preserve">Ahmadou</w:t>
      </w:r>
      <w:r>
        <w:t xml:space="preserve"> </w:t>
      </w:r>
      <w:r>
        <w:t xml:space="preserve">Sardaouna</w:t>
      </w:r>
    </w:p>
    <w:p>
      <w:pPr>
        <w:pStyle w:val="Date"/>
      </w:pPr>
      <w:r>
        <w:t xml:space="preserve">July</w:t>
      </w:r>
      <w:r>
        <w:t xml:space="preserve"> </w:t>
      </w:r>
      <w:r>
        <w:t xml:space="preserve">23,</w:t>
      </w:r>
      <w:r>
        <w:t xml:space="preserve"> </w:t>
      </w:r>
      <w:r>
        <w:t xml:space="preserve">2026</w:t>
      </w:r>
    </w:p>
    <w:bookmarkStart w:id="22" w:name="data-analytics-capstone"/>
    <w:p>
      <w:pPr>
        <w:pStyle w:val="Heading1"/>
      </w:pPr>
      <w:r>
        <w:t xml:space="preserve">Data Analytics Capstone</w:t>
      </w:r>
    </w:p>
    <w:bookmarkStart w:id="21" w:name="Xcffcb124e9607b94fe7863ede06c180e5723467"/>
    <w:p>
      <w:pPr>
        <w:pStyle w:val="Heading2"/>
      </w:pPr>
      <w:r>
        <w:t xml:space="preserve">Predicting and Explaining Housing Basic-Services Deprivation Across African Countries Using Public World Bank Indicators, 2000–2024</w:t>
      </w:r>
    </w:p>
    <w:bookmarkStart w:id="20" w:name="synopsis"/>
    <w:p>
      <w:pPr>
        <w:pStyle w:val="Heading3"/>
      </w:pPr>
      <w:r>
        <w:t xml:space="preserve">Synopsis</w:t>
      </w:r>
    </w:p>
    <w:p>
      <w:pPr>
        <w:pStyle w:val="FirstParagraph"/>
      </w:pPr>
      <w:r>
        <w:t xml:space="preserve">Ahmadou Sardaouna</w:t>
      </w:r>
      <w:r>
        <w:br/>
      </w:r>
      <w:r>
        <w:t xml:space="preserve">Walsh College</w:t>
      </w:r>
      <w:r>
        <w:br/>
      </w:r>
      <w:r>
        <w:t xml:space="preserve">QM640: Data Analytics Capstone</w:t>
      </w:r>
      <w:r>
        <w:br/>
      </w:r>
      <w:r>
        <w:t xml:space="preserve">Mentor: Dr. Basu</w:t>
      </w:r>
      <w:r>
        <w:br/>
      </w:r>
      <w:r>
        <w:t xml:space="preserve">Summer 2026 Term</w:t>
      </w:r>
      <w:r>
        <w:br/>
      </w:r>
      <w:r>
        <w:t xml:space="preserve">July 23, 2026</w:t>
      </w:r>
    </w:p>
    <w:bookmarkEnd w:id="20"/>
    <w:bookmarkEnd w:id="21"/>
    <w:bookmarkEnd w:id="22"/>
    <w:bookmarkStart w:id="26" w:name="introduction"/>
    <w:p>
      <w:pPr>
        <w:pStyle w:val="Heading1"/>
      </w:pPr>
      <w:r>
        <w:t xml:space="preserve">Introduction</w:t>
      </w:r>
    </w:p>
    <w:bookmarkStart w:id="23" w:name="background-and-context"/>
    <w:p>
      <w:pPr>
        <w:pStyle w:val="Heading2"/>
      </w:pPr>
      <w:r>
        <w:t xml:space="preserve">Background and Context</w:t>
      </w:r>
    </w:p>
    <w:p>
      <w:pPr>
        <w:pStyle w:val="FirstParagraph"/>
      </w:pPr>
      <w:r>
        <w:t xml:space="preserve">Adequate housing is more than a physical structure; it is the platform through which communities access safe water, sanitation, and electricity—services critical to health, economic participation, and human dignity. Research on South African housing protests documents that the house is experienced as a nexus of water, electricity, sanitation, and safety, and that delivering a structure without resolving service gaps leaves communities substantially deprived (Chiwarawara, 2024). Studies of informal settlements reinforce this point, connecting the absence of basic services to health burdens, flooding risk, fires, and public-service failures (Marutlulle, 2021). These findings matter at a policy level because housing programs can satisfy a construction target while leaving service deprivation entirely unresolved.</w:t>
      </w:r>
    </w:p>
    <w:p>
      <w:pPr>
        <w:pStyle w:val="BodyText"/>
      </w:pPr>
      <w:r>
        <w:t xml:space="preserve">For comparative and planning purposes, decision makers across African housing ministries, development-finance institutions, water and sanitation programs, and research organizations need a consistent, reproducible baseline. The World Bank’s World Development Indicators (WDI) are the most comprehensive publicly licensed source that covers water, sanitation, and electricity access for all 53 African countries over multiple decades. However, no single publicly documented country-year panel combines these three service-access indicators with the economic and demographic covariates needed to support trend analysis, subregional comparison, and predictive early-warning classification across the full 2000–2024 period. This study constructs, audits, and analyzes such a panel with explicit ecological limitations and country-aware statistical design.</w:t>
      </w:r>
    </w:p>
    <w:bookmarkEnd w:id="23"/>
    <w:bookmarkStart w:id="24" w:name="problem-statement"/>
    <w:p>
      <w:pPr>
        <w:pStyle w:val="Heading2"/>
      </w:pPr>
      <w:r>
        <w:t xml:space="preserve">Problem Statement</w:t>
      </w:r>
    </w:p>
    <w:p>
      <w:pPr>
        <w:pStyle w:val="FirstParagraph"/>
      </w:pPr>
      <w:r>
        <w:t xml:space="preserve">African housing and development comparisons typically rely on separate, irregular surveys or single-dimension indicators that are difficult to compare across countries and years. There is no publicly documented, reproducible country-year panel that jointly tracks basic water, sanitation, and electricity access alongside economic and demographic predictors for 53 African countries from 2000 to 2024. Without such a panel, researchers and planners cannot efficiently reproduce a trend analysis, compare subregions, quantify associations with development indicators, or test whether lagged public data can provide an early-warning signal for high-deprivation country-years. This study addresses that gap with a transparent WDI-based service-deprivation index and a country-aware analytic design bounded by explicit ecological inference limitations.</w:t>
      </w:r>
    </w:p>
    <w:bookmarkEnd w:id="24"/>
    <w:bookmarkStart w:id="25" w:name="purpose-of-the-study"/>
    <w:p>
      <w:pPr>
        <w:pStyle w:val="Heading2"/>
      </w:pPr>
      <w:r>
        <w:t xml:space="preserve">Purpose of the Study</w:t>
      </w:r>
    </w:p>
    <w:p>
      <w:pPr>
        <w:pStyle w:val="FirstParagraph"/>
      </w:pPr>
      <w:r>
        <w:t xml:space="preserve">This study constructs, audits, and analyzes a public African country-year panel of basic housing-service deprivation across four connected purposes: describing temporal trends, estimating associations with economic and demographic predictors, comparing African subregions, and testing whether lagged public indicators can classify one-year-ahead high-deprivation country-years. The study is descriptive, explanatory, comparative, and predictive in a limited early-warning sense; it is not causal, household-level, or an automated eligibility system.</w:t>
      </w:r>
    </w:p>
    <w:bookmarkEnd w:id="25"/>
    <w:bookmarkEnd w:id="26"/>
    <w:bookmarkStart w:id="27" w:name="literature-review"/>
    <w:p>
      <w:pPr>
        <w:pStyle w:val="Heading1"/>
      </w:pPr>
      <w:r>
        <w:t xml:space="preserve">Literature Review</w:t>
      </w:r>
    </w:p>
    <w:p>
      <w:pPr>
        <w:pStyle w:val="FirstParagraph"/>
      </w:pPr>
      <w:r>
        <w:t xml:space="preserve">Research on African housing and service deprivation spans quantitative panel methods, household survey analysis, and qualitative field work. Agbodji et al. (2015) analyze multidimensional deprivation in Burkina Faso and Togo using a composite index that combines housing, utilities, education, employment, and assets, finding that the dimensional contribution to overall deprivation varies significantly by country and gender. Their methodological approach—constructing an equal-weight composite from publicly available indicators—directly informs this study’s deprivation index design, though their analysis operates at the household level whereas this study aggregates to country-years. de Milliano and Plavgo (2018) demonstrate that monetary poverty systematically underestimates the breadth of child deprivation in sub-Saharan Africa, reinforcing the need for multidimensional service indicators. Their multi-country panel structure is similar in scope to this project, but they use household survey records rather than national aggregates, a distinction that limits direct comparison while validating the composite approach.</w:t>
      </w:r>
    </w:p>
    <w:p>
      <w:pPr>
        <w:pStyle w:val="BodyText"/>
      </w:pPr>
      <w:r>
        <w:t xml:space="preserve">Gradín (2013) traces South African poverty and deprivation to cumulative racial and geographic disadvantages that persist across decades, supporting the use of subregional groupings and country fixed effects in this panel design. His single-country, disaggregated evidence aligns with the subregional hypotheses in RQ3 and the economic associations tested in RQ2. Chiwarawara (2024) and Marutlulle (2021) document through qualitative and policy analysis that housing inadequacy encompasses service gaps that national aggregates obscure, directly motivating the ecological caution applied throughout this study and confirming that a country-year index can serve only as a first-stage screening tool, not a substitute for household-level investigation.</w:t>
      </w:r>
    </w:p>
    <w:p>
      <w:pPr>
        <w:pStyle w:val="BodyText"/>
      </w:pPr>
      <w:r>
        <w:t xml:space="preserve">Bouzarovski and Petrova (2015) provide a cross-national energy-deprivation framework that extends beyond electrification rates to include service quality and affordability, noting that aggregate statistics mask within-country inequality—a critique that reinforces this study’s composite index approach and its stated limitations. Lin and Okyere (2022) find that energy poverty in South Africa responds to GDP-linked subsidies, consistent with including GDP per capita as a key predictor in RQ2 and suggesting that economic policy variables carry meaningful signal for service-access classification. Yeh et al. (2020) demonstrate that publicly available satellite data combined with machine-learning methods can predict economic well-being proxies in Africa, suggesting that public country-year indicators may likewise carry predictive signal for the RQ4 classification task. Zimmerman et al. (2022) and Kamndaya et al. (2014) confirm that material deprivation co-occurs with health and behavioral outcomes across multiple African contexts, reinforcing the policy relevance of identifying high-deprivation settings early. Across these studies, a shared methodological gap is the absence of a single reproducible, openly licensed country-year panel that combines water, sanitation, electricity, and development predictors for African countries with documented provenance and country-aware validation—the gap this study directly addresses.</w:t>
      </w:r>
    </w:p>
    <w:bookmarkEnd w:id="27"/>
    <w:bookmarkStart w:id="33" w:name="scope-and-objectives"/>
    <w:p>
      <w:pPr>
        <w:pStyle w:val="Heading1"/>
      </w:pPr>
      <w:r>
        <w:t xml:space="preserve">Scope and Objectives</w:t>
      </w:r>
    </w:p>
    <w:p>
      <w:pPr>
        <w:pStyle w:val="FirstParagraph"/>
      </w:pPr>
      <w:r>
        <w:t xml:space="preserve">The study covers 53 African countries, calendar years 2000–2024, and seven WDI indicators. The unit of analysis is the country-year. The downloaded panel contains 1,325 rows, of which 1,276 have a complete target value and 1,189 have all planned contemporaneous covariates. After constructing the one-year-ahead classification target, 1,188 complete lagged rows are available. All row counts exceed the planned sample floor of 216. Because 53 countries contribute repeated yearly observations, however, the effective independent sample is far smaller than the row count, and country-aware uncertainty is mandatory throughout.</w:t>
      </w:r>
    </w:p>
    <w:bookmarkStart w:id="28" w:name="research-question-1-rq1"/>
    <w:p>
      <w:pPr>
        <w:pStyle w:val="Heading2"/>
      </w:pPr>
      <w:r>
        <w:t xml:space="preserve">Research Question 1 (RQ1)</w:t>
      </w:r>
    </w:p>
    <w:p>
      <w:pPr>
        <w:pStyle w:val="FirstParagraph"/>
      </w:pPr>
      <w:r>
        <w:t xml:space="preserve">How did the distribution and trajectory of country-year housing basic-services deprivation change across African countries from 2000 through 2024?</w:t>
      </w:r>
    </w:p>
    <w:p>
      <w:pPr>
        <w:numPr>
          <w:ilvl w:val="0"/>
          <w:numId w:val="1001"/>
        </w:numPr>
        <w:pStyle w:val="Compact"/>
      </w:pPr>
      <m:oMath>
        <m:sSub>
          <m:e>
            <m:r>
              <m:t>H</m:t>
            </m:r>
          </m:e>
          <m:sub>
            <m:r>
              <m:t>0</m:t>
            </m:r>
            <m:r>
              <m:rPr>
                <m:sty m:val="p"/>
              </m:rPr>
              <m:t>,</m:t>
            </m:r>
            <m:r>
              <m:t>1</m:t>
            </m:r>
          </m:sub>
        </m:sSub>
      </m:oMath>
      <w:r>
        <w:rPr>
          <w:bCs/>
          <w:b/>
        </w:rPr>
        <w:t xml:space="preserve">:</w:t>
      </w:r>
      <w:r>
        <w:t xml:space="preserve"> </w:t>
      </w:r>
      <w:r>
        <w:t xml:space="preserve">The mean annual change in the country-level deprivation index is zero.</w:t>
      </w:r>
    </w:p>
    <w:p>
      <w:pPr>
        <w:numPr>
          <w:ilvl w:val="0"/>
          <w:numId w:val="1001"/>
        </w:numPr>
        <w:pStyle w:val="Compact"/>
      </w:pPr>
      <m:oMath>
        <m:sSub>
          <m:e>
            <m:r>
              <m:t>H</m:t>
            </m:r>
          </m:e>
          <m:sub>
            <m:r>
              <m:t>1</m:t>
            </m:r>
            <m:r>
              <m:rPr>
                <m:sty m:val="p"/>
              </m:rPr>
              <m:t>,</m:t>
            </m:r>
            <m:r>
              <m:t>1</m:t>
            </m:r>
          </m:sub>
        </m:sSub>
      </m:oMath>
      <w:r>
        <w:rPr>
          <w:bCs/>
          <w:b/>
        </w:rPr>
        <w:t xml:space="preserve">:</w:t>
      </w:r>
      <w:r>
        <w:t xml:space="preserve"> </w:t>
      </w:r>
      <w:r>
        <w:t xml:space="preserve">The mean annual change in the country-level deprivation index differs from zero.</w:t>
      </w:r>
    </w:p>
    <w:bookmarkEnd w:id="28"/>
    <w:bookmarkStart w:id="29" w:name="research-question-2-rq2"/>
    <w:p>
      <w:pPr>
        <w:pStyle w:val="Heading2"/>
      </w:pPr>
      <w:r>
        <w:t xml:space="preserve">Research Question 2 (RQ2)</w:t>
      </w:r>
    </w:p>
    <w:p>
      <w:pPr>
        <w:pStyle w:val="FirstParagraph"/>
      </w:pPr>
      <w:r>
        <w:t xml:space="preserve">To what extent are GDP per capita, urbanization, population density, and total population associated with housing basic-services deprivation after accounting for country and year structure?</w:t>
      </w:r>
    </w:p>
    <w:p>
      <w:pPr>
        <w:numPr>
          <w:ilvl w:val="0"/>
          <w:numId w:val="1002"/>
        </w:numPr>
        <w:pStyle w:val="Compact"/>
      </w:pPr>
      <m:oMath>
        <m:sSub>
          <m:e>
            <m:r>
              <m:t>H</m:t>
            </m:r>
          </m:e>
          <m:sub>
            <m:r>
              <m:t>0</m:t>
            </m:r>
            <m:r>
              <m:rPr>
                <m:sty m:val="p"/>
              </m:rPr>
              <m:t>,</m:t>
            </m:r>
            <m:r>
              <m:t>2</m:t>
            </m:r>
          </m:sub>
        </m:sSub>
      </m:oMath>
      <w:r>
        <w:rPr>
          <w:bCs/>
          <w:b/>
        </w:rPr>
        <w:t xml:space="preserve">:</w:t>
      </w:r>
      <w:r>
        <w:t xml:space="preserve"> </w:t>
      </w:r>
      <w:r>
        <w:t xml:space="preserve">The prespecified covariates have no joint association with deprivation after country and year controls.</w:t>
      </w:r>
    </w:p>
    <w:p>
      <w:pPr>
        <w:numPr>
          <w:ilvl w:val="0"/>
          <w:numId w:val="1002"/>
        </w:numPr>
        <w:pStyle w:val="Compact"/>
      </w:pPr>
      <m:oMath>
        <m:sSub>
          <m:e>
            <m:r>
              <m:t>H</m:t>
            </m:r>
          </m:e>
          <m:sub>
            <m:r>
              <m:t>1</m:t>
            </m:r>
            <m:r>
              <m:rPr>
                <m:sty m:val="p"/>
              </m:rPr>
              <m:t>,</m:t>
            </m:r>
            <m:r>
              <m:t>2</m:t>
            </m:r>
          </m:sub>
        </m:sSub>
      </m:oMath>
      <w:r>
        <w:rPr>
          <w:bCs/>
          <w:b/>
        </w:rPr>
        <w:t xml:space="preserve">:</w:t>
      </w:r>
      <w:r>
        <w:t xml:space="preserve"> </w:t>
      </w:r>
      <w:r>
        <w:t xml:space="preserve">The prespecified covariates have a joint association with deprivation after country and year controls.</w:t>
      </w:r>
    </w:p>
    <w:bookmarkEnd w:id="29"/>
    <w:bookmarkStart w:id="30" w:name="research-question-3-rq3"/>
    <w:p>
      <w:pPr>
        <w:pStyle w:val="Heading2"/>
      </w:pPr>
      <w:r>
        <w:t xml:space="preserve">Research Question 3 (RQ3)</w:t>
      </w:r>
    </w:p>
    <w:p>
      <w:pPr>
        <w:pStyle w:val="FirstParagraph"/>
      </w:pPr>
      <w:r>
        <w:t xml:space="preserve">Do housing basic-services deprivation levels differ across prespecified African subregions after accounting for year?</w:t>
      </w:r>
    </w:p>
    <w:p>
      <w:pPr>
        <w:numPr>
          <w:ilvl w:val="0"/>
          <w:numId w:val="1003"/>
        </w:numPr>
        <w:pStyle w:val="Compact"/>
      </w:pPr>
      <m:oMath>
        <m:sSub>
          <m:e>
            <m:r>
              <m:t>H</m:t>
            </m:r>
          </m:e>
          <m:sub>
            <m:r>
              <m:t>0</m:t>
            </m:r>
            <m:r>
              <m:rPr>
                <m:sty m:val="p"/>
              </m:rPr>
              <m:t>,</m:t>
            </m:r>
            <m:r>
              <m:t>3</m:t>
            </m:r>
          </m:sub>
        </m:sSub>
      </m:oMath>
      <w:r>
        <w:rPr>
          <w:bCs/>
          <w:b/>
        </w:rPr>
        <w:t xml:space="preserve">:</w:t>
      </w:r>
      <w:r>
        <w:t xml:space="preserve"> </w:t>
      </w:r>
      <w:r>
        <w:t xml:space="preserve">Mean deprivation does not differ across subregions after year adjustment.</w:t>
      </w:r>
    </w:p>
    <w:p>
      <w:pPr>
        <w:numPr>
          <w:ilvl w:val="0"/>
          <w:numId w:val="1003"/>
        </w:numPr>
        <w:pStyle w:val="Compact"/>
      </w:pPr>
      <m:oMath>
        <m:sSub>
          <m:e>
            <m:r>
              <m:t>H</m:t>
            </m:r>
          </m:e>
          <m:sub>
            <m:r>
              <m:t>1</m:t>
            </m:r>
            <m:r>
              <m:rPr>
                <m:sty m:val="p"/>
              </m:rPr>
              <m:t>,</m:t>
            </m:r>
            <m:r>
              <m:t>3</m:t>
            </m:r>
          </m:sub>
        </m:sSub>
      </m:oMath>
      <w:r>
        <w:rPr>
          <w:bCs/>
          <w:b/>
        </w:rPr>
        <w:t xml:space="preserve">:</w:t>
      </w:r>
      <w:r>
        <w:t xml:space="preserve"> </w:t>
      </w:r>
      <w:r>
        <w:t xml:space="preserve">At least one subregion has a different mean deprivation level after year adjustment.</w:t>
      </w:r>
    </w:p>
    <w:bookmarkEnd w:id="30"/>
    <w:bookmarkStart w:id="31" w:name="research-question-4-rq4"/>
    <w:p>
      <w:pPr>
        <w:pStyle w:val="Heading2"/>
      </w:pPr>
      <w:r>
        <w:t xml:space="preserve">Research Question 4 (RQ4)</w:t>
      </w:r>
    </w:p>
    <w:p>
      <w:pPr>
        <w:pStyle w:val="FirstParagraph"/>
      </w:pPr>
      <w:r>
        <w:t xml:space="preserve">Can public economic and demographic indicators measured in year</w:t>
      </w:r>
      <w:r>
        <w:t xml:space="preserve"> </w:t>
      </w:r>
      <m:oMath>
        <m:r>
          <m:t>t</m:t>
        </m:r>
      </m:oMath>
      <w:r>
        <w:t xml:space="preserve"> </w:t>
      </w:r>
      <w:r>
        <w:t xml:space="preserve">classify whether a country-year will fall into the high-deprivation category in year</w:t>
      </w:r>
      <w:r>
        <w:t xml:space="preserve"> </w:t>
      </w:r>
      <m:oMath>
        <m:r>
          <m:t>t</m:t>
        </m:r>
        <m:r>
          <m:rPr>
            <m:sty m:val="p"/>
          </m:rPr>
          <m:t>+</m:t>
        </m:r>
        <m:r>
          <m:t>1</m:t>
        </m:r>
      </m:oMath>
      <w:r>
        <w:t xml:space="preserve">?</w:t>
      </w:r>
    </w:p>
    <w:p>
      <w:pPr>
        <w:numPr>
          <w:ilvl w:val="0"/>
          <w:numId w:val="1004"/>
        </w:numPr>
        <w:pStyle w:val="Compact"/>
      </w:pPr>
      <m:oMath>
        <m:sSub>
          <m:e>
            <m:r>
              <m:t>H</m:t>
            </m:r>
          </m:e>
          <m:sub>
            <m:r>
              <m:t>0</m:t>
            </m:r>
            <m:r>
              <m:rPr>
                <m:sty m:val="p"/>
              </m:rPr>
              <m:t>,</m:t>
            </m:r>
            <m:r>
              <m:t>4</m:t>
            </m:r>
          </m:sub>
        </m:sSub>
      </m:oMath>
      <w:r>
        <w:rPr>
          <w:bCs/>
          <w:b/>
        </w:rPr>
        <w:t xml:space="preserve">:</w:t>
      </w:r>
      <w:r>
        <w:t xml:space="preserve"> </w:t>
      </w:r>
      <w:r>
        <w:t xml:space="preserve">No prespecified classifier outperforms the majority-class baseline by the minimum practical margin on held-out country-years.</w:t>
      </w:r>
    </w:p>
    <w:p>
      <w:pPr>
        <w:numPr>
          <w:ilvl w:val="0"/>
          <w:numId w:val="1004"/>
        </w:numPr>
        <w:pStyle w:val="Compact"/>
      </w:pPr>
      <m:oMath>
        <m:sSub>
          <m:e>
            <m:r>
              <m:t>H</m:t>
            </m:r>
          </m:e>
          <m:sub>
            <m:r>
              <m:t>1</m:t>
            </m:r>
            <m:r>
              <m:rPr>
                <m:sty m:val="p"/>
              </m:rPr>
              <m:t>,</m:t>
            </m:r>
            <m:r>
              <m:t>4</m:t>
            </m:r>
          </m:sub>
        </m:sSub>
      </m:oMath>
      <w:r>
        <w:rPr>
          <w:bCs/>
          <w:b/>
        </w:rPr>
        <w:t xml:space="preserve">:</w:t>
      </w:r>
      <w:r>
        <w:t xml:space="preserve"> </w:t>
      </w:r>
      <w:r>
        <w:t xml:space="preserve">At least one prespecified classifier outperforms the majority-class baseline by the minimum practical margin on held-out country-years.</w:t>
      </w:r>
    </w:p>
    <w:bookmarkEnd w:id="31"/>
    <w:bookmarkStart w:id="32" w:name="project-timeline"/>
    <w:p>
      <w:pPr>
        <w:pStyle w:val="Heading2"/>
      </w:pPr>
      <w:r>
        <w:t xml:space="preserve">Project Timeline</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right"/>
            </w:pPr>
            <w:r>
              <w:t xml:space="preserve">Week</w:t>
            </w:r>
          </w:p>
        </w:tc>
        <w:tc>
          <w:tcPr/>
          <w:p>
            <w:pPr>
              <w:pStyle w:val="Compact"/>
              <w:jc w:val="left"/>
            </w:pPr>
            <w:r>
              <w:t xml:space="preserve">Milestone</w:t>
            </w:r>
          </w:p>
        </w:tc>
      </w:tr>
      <w:tr>
        <w:tc>
          <w:tcPr/>
          <w:p>
            <w:pPr>
              <w:pStyle w:val="Compact"/>
              <w:jc w:val="right"/>
            </w:pPr>
            <w:r>
              <w:t xml:space="preserve">1</w:t>
            </w:r>
          </w:p>
        </w:tc>
        <w:tc>
          <w:tcPr/>
          <w:p>
            <w:pPr>
              <w:pStyle w:val="Compact"/>
              <w:jc w:val="left"/>
            </w:pPr>
            <w:r>
              <w:t xml:space="preserve">Confirm approved problem, scope, target, and open-data route</w:t>
            </w:r>
          </w:p>
        </w:tc>
      </w:tr>
      <w:tr>
        <w:tc>
          <w:tcPr/>
          <w:p>
            <w:pPr>
              <w:pStyle w:val="Compact"/>
              <w:jc w:val="right"/>
            </w:pPr>
            <w:r>
              <w:t xml:space="preserve">2</w:t>
            </w:r>
          </w:p>
        </w:tc>
        <w:tc>
          <w:tcPr/>
          <w:p>
            <w:pPr>
              <w:pStyle w:val="Compact"/>
              <w:jc w:val="left"/>
            </w:pPr>
            <w:r>
              <w:t xml:space="preserve">Acquire WDI indicators and freeze the country/year panel</w:t>
            </w:r>
          </w:p>
        </w:tc>
      </w:tr>
      <w:tr>
        <w:tc>
          <w:tcPr/>
          <w:p>
            <w:pPr>
              <w:pStyle w:val="Compact"/>
              <w:jc w:val="right"/>
            </w:pPr>
            <w:r>
              <w:t xml:space="preserve">3</w:t>
            </w:r>
          </w:p>
        </w:tc>
        <w:tc>
          <w:tcPr/>
          <w:p>
            <w:pPr>
              <w:pStyle w:val="Compact"/>
              <w:jc w:val="left"/>
            </w:pPr>
            <w:r>
              <w:t xml:space="preserve">Audit schema, missingness, duplicate keys, and target arithmetic</w:t>
            </w:r>
          </w:p>
        </w:tc>
      </w:tr>
      <w:tr>
        <w:tc>
          <w:tcPr/>
          <w:p>
            <w:pPr>
              <w:pStyle w:val="Compact"/>
              <w:jc w:val="right"/>
            </w:pPr>
            <w:r>
              <w:t xml:space="preserve">4</w:t>
            </w:r>
          </w:p>
        </w:tc>
        <w:tc>
          <w:tcPr/>
          <w:p>
            <w:pPr>
              <w:pStyle w:val="Compact"/>
              <w:jc w:val="left"/>
            </w:pPr>
            <w:r>
              <w:t xml:space="preserve">Complete literature matrix and finalize data dictionary</w:t>
            </w:r>
          </w:p>
        </w:tc>
      </w:tr>
      <w:tr>
        <w:tc>
          <w:tcPr/>
          <w:p>
            <w:pPr>
              <w:pStyle w:val="Compact"/>
              <w:jc w:val="right"/>
            </w:pPr>
            <w:r>
              <w:t xml:space="preserve">5</w:t>
            </w:r>
          </w:p>
        </w:tc>
        <w:tc>
          <w:tcPr/>
          <w:p>
            <w:pPr>
              <w:pStyle w:val="Compact"/>
              <w:jc w:val="left"/>
            </w:pPr>
            <w:r>
              <w:t xml:space="preserve">Produce RQ1 descriptive trends and component sensitivity summaries</w:t>
            </w:r>
          </w:p>
        </w:tc>
      </w:tr>
      <w:tr>
        <w:tc>
          <w:tcPr/>
          <w:p>
            <w:pPr>
              <w:pStyle w:val="Compact"/>
              <w:jc w:val="right"/>
            </w:pPr>
            <w:r>
              <w:t xml:space="preserve">6</w:t>
            </w:r>
          </w:p>
        </w:tc>
        <w:tc>
          <w:tcPr/>
          <w:p>
            <w:pPr>
              <w:pStyle w:val="Compact"/>
              <w:jc w:val="left"/>
            </w:pPr>
            <w:r>
              <w:t xml:space="preserve">Estimate RQ2 fixed-effects associations with country-aware uncertainty</w:t>
            </w:r>
          </w:p>
        </w:tc>
      </w:tr>
      <w:tr>
        <w:tc>
          <w:tcPr/>
          <w:p>
            <w:pPr>
              <w:pStyle w:val="Compact"/>
              <w:jc w:val="right"/>
            </w:pPr>
            <w:r>
              <w:t xml:space="preserve">7</w:t>
            </w:r>
          </w:p>
        </w:tc>
        <w:tc>
          <w:tcPr/>
          <w:p>
            <w:pPr>
              <w:pStyle w:val="Compact"/>
              <w:jc w:val="left"/>
            </w:pPr>
            <w:r>
              <w:t xml:space="preserve">Add subregion mapping and estimate RQ3 year-adjusted comparisons</w:t>
            </w:r>
          </w:p>
        </w:tc>
      </w:tr>
      <w:tr>
        <w:tc>
          <w:tcPr/>
          <w:p>
            <w:pPr>
              <w:pStyle w:val="Compact"/>
              <w:jc w:val="right"/>
            </w:pPr>
            <w:r>
              <w:t xml:space="preserve">8</w:t>
            </w:r>
          </w:p>
        </w:tc>
        <w:tc>
          <w:tcPr/>
          <w:p>
            <w:pPr>
              <w:pStyle w:val="Compact"/>
              <w:jc w:val="left"/>
            </w:pPr>
            <w:r>
              <w:t xml:space="preserve">Build and evaluate the leakage-controlled RQ4 classification pipeline</w:t>
            </w:r>
          </w:p>
        </w:tc>
      </w:tr>
      <w:tr>
        <w:tc>
          <w:tcPr/>
          <w:p>
            <w:pPr>
              <w:pStyle w:val="Compact"/>
              <w:jc w:val="right"/>
            </w:pPr>
            <w:r>
              <w:t xml:space="preserve">9</w:t>
            </w:r>
          </w:p>
        </w:tc>
        <w:tc>
          <w:tcPr/>
          <w:p>
            <w:pPr>
              <w:pStyle w:val="Compact"/>
              <w:jc w:val="left"/>
            </w:pPr>
            <w:r>
              <w:t xml:space="preserve">Calibration, country-blocked sensitivity, and ethical boundary review</w:t>
            </w:r>
          </w:p>
        </w:tc>
      </w:tr>
      <w:tr>
        <w:tc>
          <w:tcPr/>
          <w:p>
            <w:pPr>
              <w:pStyle w:val="Compact"/>
              <w:jc w:val="right"/>
            </w:pPr>
            <w:r>
              <w:t xml:space="preserve">10</w:t>
            </w:r>
          </w:p>
        </w:tc>
        <w:tc>
          <w:tcPr/>
          <w:p>
            <w:pPr>
              <w:pStyle w:val="Compact"/>
              <w:jc w:val="left"/>
            </w:pPr>
            <w:r>
              <w:t xml:space="preserve">Integrate results, verify reproducibility, and submit final report</w:t>
            </w:r>
          </w:p>
        </w:tc>
      </w:tr>
    </w:tbl>
    <w:p>
      <w:pPr>
        <w:pStyle w:val="BodyText"/>
      </w:pPr>
      <w:r>
        <w:t xml:space="preserve">The schedule includes fallback options at every data-dependent step: if a WDI series is revised or incomplete, the frozen audit and complete-case sensitivity analysis remain the primary evidence.</w:t>
      </w:r>
    </w:p>
    <w:bookmarkEnd w:id="32"/>
    <w:bookmarkEnd w:id="33"/>
    <w:bookmarkStart w:id="34" w:name="sample-size-calculation"/>
    <w:p>
      <w:pPr>
        <w:pStyle w:val="Heading1"/>
      </w:pPr>
      <w:r>
        <w:t xml:space="preserve">Sample Size Calculation</w:t>
      </w:r>
    </w:p>
    <w:p>
      <w:pPr>
        <w:pStyle w:val="FirstParagraph"/>
      </w:pPr>
      <w:r>
        <w:t xml:space="preserve">For RQ1, a confidence-interval precision calculation uses a planning standard deviation of 10 index points and a two-point margin of error at 95% confidence:</w:t>
      </w:r>
    </w:p>
    <w:p>
      <w:pPr>
        <w:pStyle w:val="BodyText"/>
      </w:pPr>
      <m:oMathPara>
        <m:oMathParaPr>
          <m:jc m:val="center"/>
        </m:oMathParaPr>
        <m:oMath>
          <m:sSub>
            <m:e>
              <m:r>
                <m:t>n</m:t>
              </m:r>
            </m:e>
            <m:sub>
              <m:r>
                <m:t>R</m:t>
              </m:r>
              <m:r>
                <m:t>Q</m:t>
              </m:r>
              <m:r>
                <m:t>1</m:t>
              </m:r>
            </m:sub>
          </m:sSub>
          <m:r>
            <m:rPr>
              <m:sty m:val="p"/>
            </m:rPr>
            <m:t>=</m:t>
          </m:r>
          <m:sSup>
            <m:e>
              <m:d>
                <m:dPr>
                  <m:begChr m:val="("/>
                  <m:endChr m:val=")"/>
                  <m:sepChr m:val=""/>
                  <m:grow/>
                </m:dPr>
                <m:e>
                  <m:f>
                    <m:fPr>
                      <m:type m:val="bar"/>
                    </m:fPr>
                    <m:num>
                      <m:sSub>
                        <m:e>
                          <m:r>
                            <m:t>Z</m:t>
                          </m:r>
                        </m:e>
                        <m:sub>
                          <m:r>
                            <m:t>0.975</m:t>
                          </m:r>
                        </m:sub>
                      </m:sSub>
                      <m:r>
                        <m:t> </m:t>
                      </m:r>
                      <m:r>
                        <m:t>σ</m:t>
                      </m:r>
                    </m:num>
                    <m:den>
                      <m:r>
                        <m:t>e</m:t>
                      </m:r>
                    </m:den>
                  </m:f>
                </m:e>
              </m:d>
            </m:e>
            <m:sup>
              <m:r>
                <m:t>2</m:t>
              </m:r>
            </m:sup>
          </m:sSup>
          <m:r>
            <m:rPr>
              <m:sty m:val="p"/>
            </m:rPr>
            <m:t>=</m:t>
          </m:r>
          <m:sSup>
            <m:e>
              <m:d>
                <m:dPr>
                  <m:begChr m:val="("/>
                  <m:endChr m:val=")"/>
                  <m:sepChr m:val=""/>
                  <m:grow/>
                </m:dPr>
                <m:e>
                  <m:f>
                    <m:fPr>
                      <m:type m:val="bar"/>
                    </m:fPr>
                    <m:num>
                      <m:r>
                        <m:t>1.96</m:t>
                      </m:r>
                      <m:r>
                        <m:rPr>
                          <m:sty m:val="p"/>
                        </m:rPr>
                        <m:t>×</m:t>
                      </m:r>
                      <m:r>
                        <m:t>10</m:t>
                      </m:r>
                    </m:num>
                    <m:den>
                      <m:r>
                        <m:t>2</m:t>
                      </m:r>
                    </m:den>
                  </m:f>
                </m:e>
              </m:d>
            </m:e>
            <m:sup>
              <m:r>
                <m:t>2</m:t>
              </m:r>
            </m:sup>
          </m:sSup>
          <m:r>
            <m:rPr>
              <m:sty m:val="p"/>
            </m:rPr>
            <m:t>=</m:t>
          </m:r>
          <m:r>
            <m:t>96.04</m:t>
          </m:r>
          <m:r>
            <m:rPr>
              <m:sty m:val="p"/>
            </m:rPr>
            <m:t>≈</m:t>
          </m:r>
          <m:r>
            <m:t>97</m:t>
          </m:r>
          <m:r>
            <m:rPr>
              <m:sty m:val="p"/>
            </m:rPr>
            <m:t>.</m:t>
          </m:r>
        </m:oMath>
      </m:oMathPara>
    </w:p>
    <w:p>
      <w:pPr>
        <w:pStyle w:val="FirstParagraph"/>
      </w:pPr>
      <w:r>
        <w:t xml:space="preserve">For RQ2, the 20-observations-per-predictor rule with five predictors gives 100 rows; a Cohen</w:t>
      </w:r>
      <w:r>
        <w:t xml:space="preserve"> </w:t>
      </w:r>
      <m:oMath>
        <m:sSup>
          <m:e>
            <m:r>
              <m:t>f</m:t>
            </m:r>
          </m:e>
          <m:sup>
            <m:r>
              <m:t>2</m:t>
            </m:r>
          </m:sup>
        </m:sSup>
        <m:r>
          <m:rPr>
            <m:sty m:val="p"/>
          </m:rPr>
          <m:t>=</m:t>
        </m:r>
        <m:r>
          <m:t>0.15</m:t>
        </m:r>
      </m:oMath>
      <w:r>
        <w:t xml:space="preserve"> </w:t>
      </w:r>
      <w:r>
        <w:t xml:space="preserve">cross-check (</w:t>
      </w:r>
      <m:oMath>
        <m:r>
          <m:t>n</m:t>
        </m:r>
        <m:r>
          <m:rPr>
            <m:sty m:val="p"/>
          </m:rPr>
          <m:t>=</m:t>
        </m:r>
        <m:r>
          <m:t>9.89</m:t>
        </m:r>
        <m:r>
          <m:rPr>
            <m:sty m:val="p"/>
          </m:rPr>
          <m:t>/</m:t>
        </m:r>
        <m:r>
          <m:t>0.15</m:t>
        </m:r>
        <m:r>
          <m:rPr>
            <m:sty m:val="p"/>
          </m:rPr>
          <m:t>+</m:t>
        </m:r>
        <m:r>
          <m:t>5</m:t>
        </m:r>
        <m:r>
          <m:rPr>
            <m:sty m:val="p"/>
          </m:rPr>
          <m:t>+</m:t>
        </m:r>
        <m:r>
          <m:t>1</m:t>
        </m:r>
        <m:r>
          <m:rPr>
            <m:sty m:val="p"/>
          </m:rPr>
          <m:t>≈</m:t>
        </m:r>
        <m:r>
          <m:t>72</m:t>
        </m:r>
      </m:oMath>
      <w:r>
        <w:t xml:space="preserve">) confirms 100 is the more conservative floor. For RQ3, a five-subregion omnibus comparison at medium Cohen’s</w:t>
      </w:r>
      <w:r>
        <w:t xml:space="preserve"> </w:t>
      </w:r>
      <m:oMath>
        <m:r>
          <m:t>f</m:t>
        </m:r>
        <m:r>
          <m:rPr>
            <m:sty m:val="p"/>
          </m:rPr>
          <m:t>=</m:t>
        </m:r>
        <m:r>
          <m:t>0.25</m:t>
        </m:r>
      </m:oMath>
      <w:r>
        <w:t xml:space="preserve">,</w:t>
      </w:r>
      <w:r>
        <w:t xml:space="preserve"> </w:t>
      </w:r>
      <m:oMath>
        <m:r>
          <m:t>α</m:t>
        </m:r>
        <m:r>
          <m:rPr>
            <m:sty m:val="p"/>
          </m:rPr>
          <m:t>=</m:t>
        </m:r>
        <m:r>
          <m:t>0.05</m:t>
        </m:r>
      </m:oMath>
      <w:r>
        <w:t xml:space="preserve">, and power</w:t>
      </w:r>
      <w:r>
        <w:t xml:space="preserve"> </w:t>
      </w:r>
      <m:oMath>
        <m:r>
          <m:rPr>
            <m:sty m:val="p"/>
          </m:rPr>
          <m:t>=</m:t>
        </m:r>
        <m:r>
          <m:t>0.80</m:t>
        </m:r>
      </m:oMath>
      <w:r>
        <w:t xml:space="preserve"> </w:t>
      </w:r>
      <w:r>
        <w:t xml:space="preserve">requires 196 observations (non-centrality</w:t>
      </w:r>
      <w:r>
        <w:t xml:space="preserve"> </w:t>
      </w:r>
      <m:oMath>
        <m:r>
          <m:t>λ</m:t>
        </m:r>
        <m:r>
          <m:rPr>
            <m:sty m:val="p"/>
          </m:rPr>
          <m:t>=</m:t>
        </m:r>
        <m:r>
          <m:t>0.0625</m:t>
        </m:r>
        <m:r>
          <m:rPr>
            <m:sty m:val="p"/>
          </m:rPr>
          <m:t>×</m:t>
        </m:r>
        <m:r>
          <m:t>196</m:t>
        </m:r>
        <m:r>
          <m:rPr>
            <m:sty m:val="p"/>
          </m:rPr>
          <m:t>=</m:t>
        </m:r>
        <m:r>
          <m:t>12.25</m:t>
        </m:r>
      </m:oMath>
      <w:r>
        <w:t xml:space="preserve">, exceeding the 80% threshold at</w:t>
      </w:r>
      <w:r>
        <w:t xml:space="preserve"> </w:t>
      </w:r>
      <m:oMath>
        <m:r>
          <m:t>d</m:t>
        </m:r>
        <m:sSub>
          <m:e>
            <m:r>
              <m:t>f</m:t>
            </m:r>
          </m:e>
          <m:sub>
            <m:r>
              <m:t>b</m:t>
            </m:r>
            <m:r>
              <m:t>e</m:t>
            </m:r>
            <m:r>
              <m:t>t</m:t>
            </m:r>
            <m:r>
              <m:t>w</m:t>
            </m:r>
            <m:r>
              <m:t>e</m:t>
            </m:r>
            <m:r>
              <m:t>e</m:t>
            </m:r>
            <m:r>
              <m:t>n</m:t>
            </m:r>
          </m:sub>
        </m:sSub>
        <m:r>
          <m:rPr>
            <m:sty m:val="p"/>
          </m:rPr>
          <m:t>=</m:t>
        </m:r>
        <m:r>
          <m:t>4</m:t>
        </m:r>
      </m:oMath>
      <w:r>
        <w:t xml:space="preserve">). For RQ4, the balanced two-proportion formula is:</w:t>
      </w:r>
    </w:p>
    <w:p>
      <w:pPr>
        <w:pStyle w:val="BodyText"/>
      </w:pPr>
      <m:oMathPara>
        <m:oMathParaPr>
          <m:jc m:val="center"/>
        </m:oMathParaPr>
        <m:oMath>
          <m:sSub>
            <m:e>
              <m:r>
                <m:t>n</m:t>
              </m:r>
            </m:e>
            <m:sub>
              <m:r>
                <m:t>R</m:t>
              </m:r>
              <m:r>
                <m:t>Q</m:t>
              </m:r>
              <m:r>
                <m:t>4</m:t>
              </m:r>
            </m:sub>
          </m:sSub>
          <m:r>
            <m:rPr>
              <m:sty m:val="p"/>
            </m:rPr>
            <m:t>=</m:t>
          </m:r>
          <m:f>
            <m:fPr>
              <m:type m:val="bar"/>
            </m:fPr>
            <m:num>
              <m:sSup>
                <m:e>
                  <m:d>
                    <m:dPr>
                      <m:begChr m:val="("/>
                      <m:endChr m:val=")"/>
                      <m:sepChr m:val=""/>
                      <m:grow/>
                    </m:dPr>
                    <m:e>
                      <m:sSub>
                        <m:e>
                          <m:r>
                            <m:t>Z</m:t>
                          </m:r>
                        </m:e>
                        <m:sub>
                          <m:r>
                            <m:t>α</m:t>
                          </m:r>
                          <m:r>
                            <m:rPr>
                              <m:sty m:val="p"/>
                            </m:rPr>
                            <m:t>/</m:t>
                          </m:r>
                          <m:r>
                            <m:t>2</m:t>
                          </m:r>
                        </m:sub>
                      </m:sSub>
                      <m:r>
                        <m:rPr>
                          <m:sty m:val="p"/>
                        </m:rPr>
                        <m:t>+</m:t>
                      </m:r>
                      <m:sSub>
                        <m:e>
                          <m:r>
                            <m:t>Z</m:t>
                          </m:r>
                        </m:e>
                        <m:sub>
                          <m:r>
                            <m:t>β</m:t>
                          </m:r>
                        </m:sub>
                      </m:sSub>
                    </m:e>
                  </m:d>
                </m:e>
                <m:sup>
                  <m:r>
                    <m:t>2</m:t>
                  </m:r>
                </m:sup>
              </m:sSup>
              <m:r>
                <m:rPr>
                  <m:sty m:val="p"/>
                </m:rPr>
                <m:t>⋅</m:t>
              </m:r>
              <m:r>
                <m:t>2</m:t>
              </m:r>
              <m:r>
                <m:t>p</m:t>
              </m:r>
              <m:d>
                <m:dPr>
                  <m:begChr m:val="("/>
                  <m:endChr m:val=")"/>
                  <m:sepChr m:val=""/>
                  <m:grow/>
                </m:dPr>
                <m:e>
                  <m:r>
                    <m:t>1</m:t>
                  </m:r>
                  <m:r>
                    <m:rPr>
                      <m:sty m:val="p"/>
                    </m:rPr>
                    <m:t>−</m:t>
                  </m:r>
                  <m:r>
                    <m:t>p</m:t>
                  </m:r>
                </m:e>
              </m:d>
            </m:num>
            <m:den>
              <m:sSup>
                <m:e>
                  <m:r>
                    <m:t>δ</m:t>
                  </m:r>
                </m:e>
                <m:sup>
                  <m:r>
                    <m:t>2</m:t>
                  </m:r>
                </m:sup>
              </m:sSup>
            </m:den>
          </m:f>
          <m:r>
            <m:rPr>
              <m:sty m:val="p"/>
            </m:rPr>
            <m:t>=</m:t>
          </m:r>
          <m:f>
            <m:fPr>
              <m:type m:val="bar"/>
            </m:fPr>
            <m:num>
              <m:sSup>
                <m:e>
                  <m:d>
                    <m:dPr>
                      <m:begChr m:val="("/>
                      <m:endChr m:val=")"/>
                      <m:sepChr m:val=""/>
                      <m:grow/>
                    </m:dPr>
                    <m:e>
                      <m:r>
                        <m:t>1.96</m:t>
                      </m:r>
                      <m:r>
                        <m:rPr>
                          <m:sty m:val="p"/>
                        </m:rPr>
                        <m:t>+</m:t>
                      </m:r>
                      <m:r>
                        <m:t>0.84</m:t>
                      </m:r>
                    </m:e>
                  </m:d>
                </m:e>
                <m:sup>
                  <m:r>
                    <m:t>2</m:t>
                  </m:r>
                </m:sup>
              </m:sSup>
              <m:r>
                <m:rPr>
                  <m:sty m:val="p"/>
                </m:rPr>
                <m:t>×</m:t>
              </m:r>
              <m:r>
                <m:t>0.50</m:t>
              </m:r>
            </m:num>
            <m:den>
              <m:sSup>
                <m:e>
                  <m:r>
                    <m:t>0.15</m:t>
                  </m:r>
                </m:e>
                <m:sup>
                  <m:r>
                    <m:t>2</m:t>
                  </m:r>
                </m:sup>
              </m:sSup>
            </m:den>
          </m:f>
          <m:r>
            <m:rPr>
              <m:sty m:val="p"/>
            </m:rPr>
            <m:t>=</m:t>
          </m:r>
          <m:f>
            <m:fPr>
              <m:type m:val="bar"/>
            </m:fPr>
            <m:num>
              <m:r>
                <m:t>7.84</m:t>
              </m:r>
              <m:r>
                <m:rPr>
                  <m:sty m:val="p"/>
                </m:rPr>
                <m:t>×</m:t>
              </m:r>
              <m:r>
                <m:t>0.50</m:t>
              </m:r>
            </m:num>
            <m:den>
              <m:r>
                <m:t>0.0225</m:t>
              </m:r>
            </m:den>
          </m:f>
          <m:r>
            <m:rPr>
              <m:sty m:val="p"/>
            </m:rPr>
            <m:t>≈</m:t>
          </m:r>
          <m:r>
            <m:t>175</m:t>
          </m:r>
          <m:r>
            <m:rPr>
              <m:sty m:val="p"/>
            </m:rPr>
            <m:t>,</m:t>
          </m:r>
        </m:oMath>
      </m:oMathPara>
    </w:p>
    <w:p>
      <w:pPr>
        <w:pStyle w:val="FirstParagraph"/>
      </w:pPr>
      <w:r>
        <w:t xml:space="preserve">where</w:t>
      </w:r>
      <w:r>
        <w:t xml:space="preserve"> </w:t>
      </w:r>
      <m:oMath>
        <m:r>
          <m:t>p</m:t>
        </m:r>
        <m:r>
          <m:rPr>
            <m:sty m:val="p"/>
          </m:rPr>
          <m:t>=</m:t>
        </m:r>
        <m:r>
          <m:t>0.50</m:t>
        </m:r>
      </m:oMath>
      <w:r>
        <w:t xml:space="preserve"> </w:t>
      </w:r>
      <w:r>
        <w:t xml:space="preserve">(balanced-class assumption) and</w:t>
      </w:r>
      <w:r>
        <w:t xml:space="preserve"> </w:t>
      </w:r>
      <m:oMath>
        <m:r>
          <m:t>δ</m:t>
        </m:r>
        <m:r>
          <m:rPr>
            <m:sty m:val="p"/>
          </m:rPr>
          <m:t>=</m:t>
        </m:r>
        <m:r>
          <m:t>0.15</m:t>
        </m:r>
      </m:oMath>
      <w:r>
        <w:t xml:space="preserve"> </w:t>
      </w:r>
      <w:r>
        <w:t xml:space="preserve">(minimum meaningful difference over the majority baseline).</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RQ</w:t>
            </w:r>
          </w:p>
        </w:tc>
        <w:tc>
          <w:tcPr/>
          <w:p>
            <w:pPr>
              <w:pStyle w:val="Compact"/>
              <w:jc w:val="left"/>
            </w:pPr>
            <w:r>
              <w:t xml:space="preserve">Method</w:t>
            </w:r>
          </w:p>
        </w:tc>
        <w:tc>
          <w:tcPr/>
          <w:p>
            <w:pPr>
              <w:pStyle w:val="Compact"/>
              <w:jc w:val="left"/>
            </w:pPr>
            <w:r>
              <w:t xml:space="preserve">Key parameters</w:t>
            </w:r>
          </w:p>
        </w:tc>
        <w:tc>
          <w:tcPr/>
          <w:p>
            <w:pPr>
              <w:pStyle w:val="Compact"/>
              <w:jc w:val="right"/>
            </w:pPr>
            <w:r>
              <w:t xml:space="preserve">Min</w:t>
            </w:r>
            <w:r>
              <w:t xml:space="preserve"> </w:t>
            </w:r>
            <m:oMath>
              <m:r>
                <m:t>N</m:t>
              </m:r>
            </m:oMath>
          </w:p>
        </w:tc>
      </w:tr>
      <w:tr>
        <w:tc>
          <w:tcPr/>
          <w:p>
            <w:pPr>
              <w:pStyle w:val="Compact"/>
              <w:jc w:val="left"/>
            </w:pPr>
            <w:r>
              <w:t xml:space="preserve">RQ1</w:t>
            </w:r>
          </w:p>
        </w:tc>
        <w:tc>
          <w:tcPr/>
          <w:p>
            <w:pPr>
              <w:pStyle w:val="Compact"/>
              <w:jc w:val="left"/>
            </w:pPr>
            <w:r>
              <w:t xml:space="preserve">CI precision</w:t>
            </w:r>
          </w:p>
        </w:tc>
        <w:tc>
          <w:tcPr/>
          <w:p>
            <w:pPr>
              <w:pStyle w:val="Compact"/>
              <w:jc w:val="left"/>
            </w:pPr>
            <m:oMath>
              <m:r>
                <m:t>Z</m:t>
              </m:r>
              <m:r>
                <m:rPr>
                  <m:sty m:val="p"/>
                </m:rPr>
                <m:t>=</m:t>
              </m:r>
              <m:r>
                <m:t>1.96</m:t>
              </m:r>
            </m:oMath>
            <w:r>
              <w:t xml:space="preserve">;</w:t>
            </w:r>
            <w:r>
              <w:t xml:space="preserve"> </w:t>
            </w:r>
            <m:oMath>
              <m:r>
                <m:t>σ</m:t>
              </m:r>
              <m:r>
                <m:rPr>
                  <m:sty m:val="p"/>
                </m:rPr>
                <m:t>=</m:t>
              </m:r>
              <m:r>
                <m:t>10</m:t>
              </m:r>
            </m:oMath>
            <w:r>
              <w:t xml:space="preserve">;</w:t>
            </w:r>
            <w:r>
              <w:t xml:space="preserve"> </w:t>
            </w:r>
            <m:oMath>
              <m:r>
                <m:t>e</m:t>
              </m:r>
              <m:r>
                <m:rPr>
                  <m:sty m:val="p"/>
                </m:rPr>
                <m:t>=</m:t>
              </m:r>
              <m:r>
                <m:t>2</m:t>
              </m:r>
            </m:oMath>
          </w:p>
        </w:tc>
        <w:tc>
          <w:tcPr/>
          <w:p>
            <w:pPr>
              <w:pStyle w:val="Compact"/>
              <w:jc w:val="right"/>
            </w:pPr>
            <w:r>
              <w:t xml:space="preserve">97</w:t>
            </w:r>
          </w:p>
        </w:tc>
      </w:tr>
      <w:tr>
        <w:tc>
          <w:tcPr/>
          <w:p>
            <w:pPr>
              <w:pStyle w:val="Compact"/>
              <w:jc w:val="left"/>
            </w:pPr>
            <w:r>
              <w:t xml:space="preserve">RQ2</w:t>
            </w:r>
          </w:p>
        </w:tc>
        <w:tc>
          <w:tcPr/>
          <w:p>
            <w:pPr>
              <w:pStyle w:val="Compact"/>
              <w:jc w:val="left"/>
            </w:pPr>
            <w:r>
              <w:t xml:space="preserve">20-per-predictor rule + Cohen</w:t>
            </w:r>
            <w:r>
              <w:t xml:space="preserve"> </w:t>
            </w:r>
            <m:oMath>
              <m:sSup>
                <m:e>
                  <m:r>
                    <m:t>f</m:t>
                  </m:r>
                </m:e>
                <m:sup>
                  <m:r>
                    <m:t>2</m:t>
                  </m:r>
                </m:sup>
              </m:sSup>
            </m:oMath>
            <w:r>
              <w:t xml:space="preserve"> </w:t>
            </w:r>
            <w:r>
              <w:t xml:space="preserve">check</w:t>
            </w:r>
          </w:p>
        </w:tc>
        <w:tc>
          <w:tcPr/>
          <w:p>
            <w:pPr>
              <w:pStyle w:val="Compact"/>
              <w:jc w:val="left"/>
            </w:pPr>
            <w:r>
              <w:t xml:space="preserve">5 predictors;</w:t>
            </w:r>
            <w:r>
              <w:t xml:space="preserve"> </w:t>
            </w:r>
            <m:oMath>
              <m:sSup>
                <m:e>
                  <m:r>
                    <m:t>f</m:t>
                  </m:r>
                </m:e>
                <m:sup>
                  <m:r>
                    <m:t>2</m:t>
                  </m:r>
                </m:sup>
              </m:sSup>
              <m:r>
                <m:rPr>
                  <m:sty m:val="p"/>
                </m:rPr>
                <m:t>=</m:t>
              </m:r>
              <m:r>
                <m:t>0.15</m:t>
              </m:r>
            </m:oMath>
            <w:r>
              <w:t xml:space="preserve">;</w:t>
            </w:r>
            <w:r>
              <w:t xml:space="preserve"> </w:t>
            </w:r>
            <m:oMath>
              <m:r>
                <m:t>α</m:t>
              </m:r>
              <m:r>
                <m:rPr>
                  <m:sty m:val="p"/>
                </m:rPr>
                <m:t>=</m:t>
              </m:r>
              <m:r>
                <m:t>0.05</m:t>
              </m:r>
            </m:oMath>
            <w:r>
              <w:t xml:space="preserve">; power=0.80</w:t>
            </w:r>
          </w:p>
        </w:tc>
        <w:tc>
          <w:tcPr/>
          <w:p>
            <w:pPr>
              <w:pStyle w:val="Compact"/>
              <w:jc w:val="right"/>
            </w:pPr>
            <w:r>
              <w:t xml:space="preserve">100</w:t>
            </w:r>
          </w:p>
        </w:tc>
      </w:tr>
      <w:tr>
        <w:tc>
          <w:tcPr/>
          <w:p>
            <w:pPr>
              <w:pStyle w:val="Compact"/>
              <w:jc w:val="left"/>
            </w:pPr>
            <w:r>
              <w:t xml:space="preserve">RQ3</w:t>
            </w:r>
          </w:p>
        </w:tc>
        <w:tc>
          <w:tcPr/>
          <w:p>
            <w:pPr>
              <w:pStyle w:val="Compact"/>
              <w:jc w:val="left"/>
            </w:pPr>
            <w:r>
              <w:t xml:space="preserve">One-way omnibus</w:t>
            </w:r>
          </w:p>
        </w:tc>
        <w:tc>
          <w:tcPr/>
          <w:p>
            <w:pPr>
              <w:pStyle w:val="Compact"/>
              <w:jc w:val="left"/>
            </w:pPr>
            <m:oMath>
              <m:r>
                <m:t>f</m:t>
              </m:r>
              <m:r>
                <m:rPr>
                  <m:sty m:val="p"/>
                </m:rPr>
                <m:t>=</m:t>
              </m:r>
              <m:r>
                <m:t>0.25</m:t>
              </m:r>
            </m:oMath>
            <w:r>
              <w:t xml:space="preserve">;</w:t>
            </w:r>
            <w:r>
              <w:t xml:space="preserve"> </w:t>
            </w:r>
            <m:oMath>
              <m:r>
                <m:t>α</m:t>
              </m:r>
              <m:r>
                <m:rPr>
                  <m:sty m:val="p"/>
                </m:rPr>
                <m:t>=</m:t>
              </m:r>
              <m:r>
                <m:t>0.05</m:t>
              </m:r>
            </m:oMath>
            <w:r>
              <w:t xml:space="preserve">; power=0.80;</w:t>
            </w:r>
            <w:r>
              <w:t xml:space="preserve"> </w:t>
            </w:r>
            <m:oMath>
              <m:r>
                <m:t>λ</m:t>
              </m:r>
              <m:r>
                <m:rPr>
                  <m:sty m:val="p"/>
                </m:rPr>
                <m:t>=</m:t>
              </m:r>
              <m:r>
                <m:t>12.25</m:t>
              </m:r>
            </m:oMath>
          </w:p>
        </w:tc>
        <w:tc>
          <w:tcPr/>
          <w:p>
            <w:pPr>
              <w:pStyle w:val="Compact"/>
              <w:jc w:val="right"/>
            </w:pPr>
            <w:r>
              <w:t xml:space="preserve">196</w:t>
            </w:r>
          </w:p>
        </w:tc>
      </w:tr>
      <w:tr>
        <w:tc>
          <w:tcPr/>
          <w:p>
            <w:pPr>
              <w:pStyle w:val="Compact"/>
              <w:jc w:val="left"/>
            </w:pPr>
            <w:r>
              <w:t xml:space="preserve">RQ4</w:t>
            </w:r>
          </w:p>
        </w:tc>
        <w:tc>
          <w:tcPr/>
          <w:p>
            <w:pPr>
              <w:pStyle w:val="Compact"/>
              <w:jc w:val="left"/>
            </w:pPr>
            <w:r>
              <w:t xml:space="preserve">Two-proportion sensitivity</w:t>
            </w:r>
          </w:p>
        </w:tc>
        <w:tc>
          <w:tcPr/>
          <w:p>
            <w:pPr>
              <w:pStyle w:val="Compact"/>
              <w:jc w:val="left"/>
            </w:pPr>
            <m:oMath>
              <m:r>
                <m:t>α</m:t>
              </m:r>
              <m:r>
                <m:rPr>
                  <m:sty m:val="p"/>
                </m:rPr>
                <m:t>=</m:t>
              </m:r>
              <m:r>
                <m:t>0.05</m:t>
              </m:r>
            </m:oMath>
            <w:r>
              <w:t xml:space="preserve">; power=0.80;</w:t>
            </w:r>
            <w:r>
              <w:t xml:space="preserve"> </w:t>
            </w:r>
            <m:oMath>
              <m:r>
                <m:t>δ</m:t>
              </m:r>
              <m:r>
                <m:rPr>
                  <m:sty m:val="p"/>
                </m:rPr>
                <m:t>=</m:t>
              </m:r>
              <m:r>
                <m:t>0.15</m:t>
              </m:r>
            </m:oMath>
            <w:r>
              <w:t xml:space="preserve">;</w:t>
            </w:r>
            <w:r>
              <w:t xml:space="preserve"> </w:t>
            </w:r>
            <m:oMath>
              <m:r>
                <m:t>p</m:t>
              </m:r>
              <m:r>
                <m:rPr>
                  <m:sty m:val="p"/>
                </m:rPr>
                <m:t>=</m:t>
              </m:r>
              <m:r>
                <m:t>0.50</m:t>
              </m:r>
            </m:oMath>
          </w:p>
        </w:tc>
        <w:tc>
          <w:tcPr/>
          <w:p>
            <w:pPr>
              <w:pStyle w:val="Compact"/>
              <w:jc w:val="right"/>
            </w:pPr>
            <w:r>
              <w:t xml:space="preserve">175</w:t>
            </w:r>
          </w:p>
        </w:tc>
      </w:tr>
    </w:tbl>
    <w:p>
      <w:pPr>
        <w:pStyle w:val="BodyText"/>
      </w:pPr>
      <w:r>
        <w:t xml:space="preserve">The final planned sample is the maximum:</w:t>
      </w:r>
      <w:r>
        <w:t xml:space="preserve"> </w:t>
      </w:r>
      <m:oMath>
        <m:r>
          <m:rPr>
            <m:sty m:val="p"/>
          </m:rPr>
          <m:t>max</m:t>
        </m:r>
        <m:d>
          <m:dPr>
            <m:begChr m:val="("/>
            <m:endChr m:val=")"/>
            <m:sepChr m:val=""/>
            <m:grow/>
          </m:dPr>
          <m:e>
            <m:r>
              <m:t>97</m:t>
            </m:r>
            <m:r>
              <m:rPr>
                <m:sty m:val="p"/>
              </m:rPr>
              <m:t>,</m:t>
            </m:r>
            <m:r>
              <m:t>100</m:t>
            </m:r>
            <m:r>
              <m:rPr>
                <m:sty m:val="p"/>
              </m:rPr>
              <m:t>,</m:t>
            </m:r>
            <m:r>
              <m:t>196</m:t>
            </m:r>
            <m:r>
              <m:rPr>
                <m:sty m:val="p"/>
              </m:rPr>
              <m:t>,</m:t>
            </m:r>
            <m:r>
              <m:t>175</m:t>
            </m:r>
          </m:e>
        </m:d>
        <m:r>
          <m:rPr>
            <m:sty m:val="p"/>
          </m:rPr>
          <m:t>=</m:t>
        </m:r>
        <m:r>
          <m:t>196</m:t>
        </m:r>
      </m:oMath>
      <w:r>
        <w:t xml:space="preserve">. Adding a 10% attrition allowance:</w:t>
      </w:r>
    </w:p>
    <w:p>
      <w:pPr>
        <w:pStyle w:val="BodyText"/>
      </w:pPr>
      <m:oMathPara>
        <m:oMathParaPr>
          <m:jc m:val="center"/>
        </m:oMathParaPr>
        <m:oMath>
          <m:sSub>
            <m:e>
              <m:r>
                <m:t>N</m:t>
              </m:r>
            </m:e>
            <m:sub>
              <m:r>
                <m:t>p</m:t>
              </m:r>
              <m:r>
                <m:t>l</m:t>
              </m:r>
              <m:r>
                <m:t>a</m:t>
              </m:r>
              <m:r>
                <m:t>n</m:t>
              </m:r>
              <m:r>
                <m:t>n</m:t>
              </m:r>
              <m:r>
                <m:t>e</m:t>
              </m:r>
              <m:r>
                <m:t>d</m:t>
              </m:r>
            </m:sub>
          </m:sSub>
          <m:r>
            <m:rPr>
              <m:sty m:val="p"/>
            </m:rPr>
            <m:t>=</m:t>
          </m:r>
          <m:r>
            <m:t>196</m:t>
          </m:r>
          <m:r>
            <m:rPr>
              <m:sty m:val="p"/>
            </m:rPr>
            <m:t>×</m:t>
          </m:r>
          <m:r>
            <m:t>1.10</m:t>
          </m:r>
          <m:r>
            <m:rPr>
              <m:sty m:val="p"/>
            </m:rPr>
            <m:t>=</m:t>
          </m:r>
          <m:r>
            <m:t>216</m:t>
          </m:r>
          <m:r>
            <m:rPr>
              <m:sty m:val="p"/>
            </m:rPr>
            <m:t>.</m:t>
          </m:r>
        </m:oMath>
      </m:oMathPara>
    </w:p>
    <w:p>
      <w:pPr>
        <w:pStyle w:val="FirstParagraph"/>
      </w:pPr>
      <w:r>
        <w:t xml:space="preserve">Available complete-case rows (1,189 contemporaneous; 1,188 lagged) exceed this floor. Because 53 countries contribute repeated observations, the effective independent sample is far smaller: following Gelman and Hill (2007, ch. 20), with an intraclass correlation of approximately 0.60 and 53 countries each contributing approximately 25 years, effective</w:t>
      </w:r>
      <w:r>
        <w:t xml:space="preserve"> </w:t>
      </w:r>
      <m:oMath>
        <m:r>
          <m:t>n</m:t>
        </m:r>
        <m:r>
          <m:rPr>
            <m:sty m:val="p"/>
          </m:rPr>
          <m:t>≈</m:t>
        </m:r>
        <m:r>
          <m:t>86</m:t>
        </m:r>
      </m:oMath>
      <w:r>
        <w:t xml:space="preserve">. Country-aware uncertainty and chronological validation are structurally required.</w:t>
      </w:r>
    </w:p>
    <w:bookmarkEnd w:id="34"/>
    <w:bookmarkStart w:id="47" w:name="data-description"/>
    <w:p>
      <w:pPr>
        <w:pStyle w:val="Heading1"/>
      </w:pPr>
      <w:r>
        <w:t xml:space="preserve">Data Description</w:t>
      </w:r>
    </w:p>
    <w:bookmarkStart w:id="40" w:name="source-and-access"/>
    <w:p>
      <w:pPr>
        <w:pStyle w:val="Heading2"/>
      </w:pPr>
      <w:r>
        <w:t xml:space="preserve">Source and Access</w:t>
      </w:r>
    </w:p>
    <w:p>
      <w:pPr>
        <w:pStyle w:val="FirstParagraph"/>
      </w:pPr>
      <w:r>
        <w:t xml:space="preserve">The data come from the World Bank World Development Indicators API (World Bank, 2026):</w:t>
      </w:r>
    </w:p>
    <w:p>
      <w:pPr>
        <w:numPr>
          <w:ilvl w:val="0"/>
          <w:numId w:val="1005"/>
        </w:numPr>
        <w:pStyle w:val="Compact"/>
      </w:pPr>
      <w:r>
        <w:t xml:space="preserve">Portal:</w:t>
      </w:r>
      <w:r>
        <w:t xml:space="preserve"> </w:t>
      </w:r>
      <w:hyperlink r:id="rId35">
        <w:r>
          <w:rPr>
            <w:rStyle w:val="Hyperlink"/>
          </w:rPr>
          <w:t xml:space="preserve">https://data.worldbank.org/</w:t>
        </w:r>
      </w:hyperlink>
    </w:p>
    <w:p>
      <w:pPr>
        <w:numPr>
          <w:ilvl w:val="0"/>
          <w:numId w:val="1005"/>
        </w:numPr>
        <w:pStyle w:val="Compact"/>
      </w:pPr>
      <w:r>
        <w:t xml:space="preserve">API:</w:t>
      </w:r>
      <w:r>
        <w:t xml:space="preserve"> </w:t>
      </w:r>
      <w:r>
        <w:rPr>
          <w:rStyle w:val="VerbatimChar"/>
        </w:rPr>
        <w:t xml:space="preserve">https://api.worldbank.org/v2/country/all/indicator/{CODE}?format=json&amp;per_page=20000</w:t>
      </w:r>
    </w:p>
    <w:p>
      <w:pPr>
        <w:numPr>
          <w:ilvl w:val="0"/>
          <w:numId w:val="1005"/>
        </w:numPr>
        <w:pStyle w:val="Compact"/>
      </w:pPr>
      <w:r>
        <w:t xml:space="preserve">License: Creative Commons Attribution 4.0 (CC BY-4.0).</w:t>
      </w:r>
    </w:p>
    <w:p>
      <w:pPr>
        <w:numPr>
          <w:ilvl w:val="0"/>
          <w:numId w:val="1005"/>
        </w:numPr>
        <w:pStyle w:val="Compact"/>
      </w:pPr>
      <w:r>
        <w:t xml:space="preserve">Acquisition date: July 23, 2026.</w:t>
      </w:r>
    </w:p>
    <w:p>
      <w:pPr>
        <w:numPr>
          <w:ilvl w:val="0"/>
          <w:numId w:val="1005"/>
        </w:numPr>
        <w:pStyle w:val="Compact"/>
      </w:pPr>
      <w:r>
        <w:t xml:space="preserve">Repository:</w:t>
      </w:r>
      <w:r>
        <w:t xml:space="preserve"> </w:t>
      </w:r>
      <w:hyperlink r:id="rId36">
        <w:r>
          <w:rPr>
            <w:rStyle w:val="Hyperlink"/>
          </w:rPr>
          <w:t xml:space="preserve">https://gitea.plexuserp.com/Plx/PlexusERP</w:t>
        </w:r>
      </w:hyperlink>
      <w:r>
        <w:t xml:space="preserve"> </w:t>
      </w:r>
      <w:r>
        <w:t xml:space="preserve">(path</w:t>
      </w:r>
      <w:r>
        <w:t xml:space="preserve"> </w:t>
      </w:r>
      <w:r>
        <w:rPr>
          <w:rStyle w:val="VerbatimChar"/>
        </w:rPr>
        <w:t xml:space="preserve">tmp/studies/research/week 3 - synopsis/</w:t>
      </w:r>
      <w:r>
        <w:t xml:space="preserve">).</w:t>
      </w:r>
    </w:p>
    <w:p>
      <w:pPr>
        <w:pStyle w:val="FirstParagraph"/>
      </w:pPr>
      <w:r>
        <w:t xml:space="preserve">The frozen panel, audit JSON, acquisition script, workbook builder, and this synopsis are all version-controlled. The reproducible package tree is shown in Figure 1 and reproduced below.</w:t>
      </w:r>
    </w:p>
    <w:p>
      <w:pPr>
        <w:pStyle w:val="SourceCode"/>
      </w:pPr>
      <w:r>
        <w:rPr>
          <w:rStyle w:val="VerbatimChar"/>
        </w:rPr>
        <w:t xml:space="preserve">week 3 - synopsis/</w:t>
      </w:r>
      <w:r>
        <w:br/>
      </w:r>
      <w:r>
        <w:rPr>
          <w:rStyle w:val="VerbatimChar"/>
        </w:rPr>
        <w:t xml:space="preserve">├── figures/</w:t>
      </w:r>
      <w:r>
        <w:br/>
      </w:r>
      <w:r>
        <w:rPr>
          <w:rStyle w:val="VerbatimChar"/>
        </w:rPr>
        <w:t xml:space="preserve">│   ├── figure_1_data_pipeline.png</w:t>
      </w:r>
      <w:r>
        <w:br/>
      </w:r>
      <w:r>
        <w:rPr>
          <w:rStyle w:val="VerbatimChar"/>
        </w:rPr>
        <w:t xml:space="preserve">│   └── figure_2_panel_preview.png</w:t>
      </w:r>
      <w:r>
        <w:br/>
      </w:r>
      <w:r>
        <w:rPr>
          <w:rStyle w:val="VerbatimChar"/>
        </w:rPr>
        <w:t xml:space="preserve">└── data/world_bank_africa_housing/</w:t>
      </w:r>
      <w:r>
        <w:br/>
      </w:r>
      <w:r>
        <w:rPr>
          <w:rStyle w:val="VerbatimChar"/>
        </w:rPr>
        <w:t xml:space="preserve">    ├── fetch_wdi_housing.py             ← acquisition script</w:t>
      </w:r>
      <w:r>
        <w:br/>
      </w:r>
      <w:r>
        <w:rPr>
          <w:rStyle w:val="VerbatimChar"/>
        </w:rPr>
        <w:t xml:space="preserve">    ├── build_housing_workbook.py        ← evidence workbook builder</w:t>
      </w:r>
      <w:r>
        <w:br/>
      </w:r>
      <w:r>
        <w:rPr>
          <w:rStyle w:val="VerbatimChar"/>
        </w:rPr>
        <w:t xml:space="preserve">    ├── africa_housing_services_panel.csv    ← frozen panel (1,325 rows)</w:t>
      </w:r>
      <w:r>
        <w:br/>
      </w:r>
      <w:r>
        <w:rPr>
          <w:rStyle w:val="VerbatimChar"/>
        </w:rPr>
        <w:t xml:space="preserve">    ├── dataset_audit.json               ← source + coverage metadata</w:t>
      </w:r>
      <w:r>
        <w:br/>
      </w:r>
      <w:r>
        <w:rPr>
          <w:rStyle w:val="VerbatimChar"/>
        </w:rPr>
        <w:t xml:space="preserve">    ├── README.md</w:t>
      </w:r>
      <w:r>
        <w:br/>
      </w:r>
      <w:r>
        <w:rPr>
          <w:rStyle w:val="VerbatimChar"/>
        </w:rPr>
        <w:t xml:space="preserve">    └── week3_africa_housing_services_data.xlsx</w:t>
      </w:r>
    </w:p>
    <w:p>
      <w:pPr>
        <w:pStyle w:val="CaptionedFigure"/>
      </w:pPr>
      <w:r>
        <w:drawing>
          <wp:inline>
            <wp:extent cx="4533900" cy="2869108"/>
            <wp:effectExtent b="0" l="0" r="0" t="0"/>
            <wp:docPr descr="Data pipeline and evidence-workbook flow" title="" id="38" name="Picture"/>
            <a:graphic>
              <a:graphicData uri="http://schemas.openxmlformats.org/drawingml/2006/picture">
                <pic:pic>
                  <pic:nvPicPr>
                    <pic:cNvPr descr="figures/figure_1_data_pipeline.png" id="39" name="Picture"/>
                    <pic:cNvPicPr>
                      <a:picLocks noChangeArrowheads="1" noChangeAspect="1"/>
                    </pic:cNvPicPr>
                  </pic:nvPicPr>
                  <pic:blipFill>
                    <a:blip r:embed="rId37"/>
                    <a:stretch>
                      <a:fillRect/>
                    </a:stretch>
                  </pic:blipFill>
                  <pic:spPr bwMode="auto">
                    <a:xfrm>
                      <a:off x="0" y="0"/>
                      <a:ext cx="4533900" cy="2869108"/>
                    </a:xfrm>
                    <a:prstGeom prst="rect">
                      <a:avLst/>
                    </a:prstGeom>
                    <a:noFill/>
                    <a:ln w="9525">
                      <a:noFill/>
                      <a:headEnd/>
                      <a:tailEnd/>
                    </a:ln>
                  </pic:spPr>
                </pic:pic>
              </a:graphicData>
            </a:graphic>
          </wp:inline>
        </w:drawing>
      </w:r>
    </w:p>
    <w:p>
      <w:pPr>
        <w:pStyle w:val="ImageCaption"/>
      </w:pPr>
      <w:r>
        <w:t xml:space="preserve">Data pipeline and evidence-workbook flow</w:t>
      </w:r>
    </w:p>
    <w:p>
      <w:pPr>
        <w:pStyle w:val="BodyText"/>
      </w:pPr>
      <w:r>
        <w:rPr>
          <w:iCs/>
          <w:i/>
        </w:rPr>
        <w:t xml:space="preserve">Figure 1. Data pipeline: World Bank WDI API → acquisition script → frozen CSV panel → audit metadata and evidence workbook.</w:t>
      </w:r>
    </w:p>
    <w:bookmarkEnd w:id="40"/>
    <w:bookmarkStart w:id="41" w:name="target-definition"/>
    <w:p>
      <w:pPr>
        <w:pStyle w:val="Heading2"/>
      </w:pPr>
      <w:r>
        <w:t xml:space="preserve">Target Definition</w:t>
      </w:r>
    </w:p>
    <w:p>
      <w:pPr>
        <w:pStyle w:val="FirstParagraph"/>
      </w:pPr>
      <w:r>
        <w:t xml:space="preserve">For country</w:t>
      </w:r>
      <w:r>
        <w:t xml:space="preserve"> </w:t>
      </w:r>
      <m:oMath>
        <m:r>
          <m:t>c</m:t>
        </m:r>
      </m:oMath>
      <w:r>
        <w:t xml:space="preserve"> </w:t>
      </w:r>
      <w:r>
        <w:t xml:space="preserve">in year</w:t>
      </w:r>
      <w:r>
        <w:t xml:space="preserve"> </w:t>
      </w:r>
      <m:oMath>
        <m:r>
          <m:t>t</m:t>
        </m:r>
      </m:oMath>
      <w:r>
        <w:t xml:space="preserve">, the housing basic-services deprivation index is:</w:t>
      </w:r>
    </w:p>
    <w:p>
      <w:pPr>
        <w:pStyle w:val="BodyText"/>
      </w:pPr>
      <m:oMathPara>
        <m:oMathParaPr>
          <m:jc m:val="center"/>
        </m:oMathParaPr>
        <m:oMath>
          <m:sSub>
            <m:e>
              <m:r>
                <m:t>D</m:t>
              </m:r>
            </m:e>
            <m:sub>
              <m:r>
                <m:t>c</m:t>
              </m:r>
              <m:r>
                <m:rPr>
                  <m:sty m:val="p"/>
                </m:rPr>
                <m:t>,</m:t>
              </m:r>
              <m:r>
                <m:t>t</m:t>
              </m:r>
            </m:sub>
          </m:sSub>
          <m:r>
            <m:rPr>
              <m:sty m:val="p"/>
            </m:rPr>
            <m:t>=</m:t>
          </m:r>
          <m:f>
            <m:fPr>
              <m:type m:val="bar"/>
            </m:fPr>
            <m:num>
              <m:d>
                <m:dPr>
                  <m:begChr m:val="("/>
                  <m:endChr m:val=")"/>
                  <m:sepChr m:val=""/>
                  <m:grow/>
                </m:dPr>
                <m:e>
                  <m:r>
                    <m:t>100</m:t>
                  </m:r>
                  <m:r>
                    <m:rPr>
                      <m:sty m:val="p"/>
                    </m:rPr>
                    <m:t>−</m:t>
                  </m:r>
                  <m:sSub>
                    <m:e>
                      <m:r>
                        <m:t>W</m:t>
                      </m:r>
                    </m:e>
                    <m:sub>
                      <m:r>
                        <m:t>c</m:t>
                      </m:r>
                      <m:r>
                        <m:rPr>
                          <m:sty m:val="p"/>
                        </m:rPr>
                        <m:t>,</m:t>
                      </m:r>
                      <m:r>
                        <m:t>t</m:t>
                      </m:r>
                    </m:sub>
                  </m:sSub>
                </m:e>
              </m:d>
              <m:r>
                <m:rPr>
                  <m:sty m:val="p"/>
                </m:rPr>
                <m:t>+</m:t>
              </m:r>
              <m:d>
                <m:dPr>
                  <m:begChr m:val="("/>
                  <m:endChr m:val=")"/>
                  <m:sepChr m:val=""/>
                  <m:grow/>
                </m:dPr>
                <m:e>
                  <m:r>
                    <m:t>100</m:t>
                  </m:r>
                  <m:r>
                    <m:rPr>
                      <m:sty m:val="p"/>
                    </m:rPr>
                    <m:t>−</m:t>
                  </m:r>
                  <m:sSub>
                    <m:e>
                      <m:r>
                        <m:t>S</m:t>
                      </m:r>
                    </m:e>
                    <m:sub>
                      <m:r>
                        <m:t>c</m:t>
                      </m:r>
                      <m:r>
                        <m:rPr>
                          <m:sty m:val="p"/>
                        </m:rPr>
                        <m:t>,</m:t>
                      </m:r>
                      <m:r>
                        <m:t>t</m:t>
                      </m:r>
                    </m:sub>
                  </m:sSub>
                </m:e>
              </m:d>
              <m:r>
                <m:rPr>
                  <m:sty m:val="p"/>
                </m:rPr>
                <m:t>+</m:t>
              </m:r>
              <m:d>
                <m:dPr>
                  <m:begChr m:val="("/>
                  <m:endChr m:val=")"/>
                  <m:sepChr m:val=""/>
                  <m:grow/>
                </m:dPr>
                <m:e>
                  <m:r>
                    <m:t>100</m:t>
                  </m:r>
                  <m:r>
                    <m:rPr>
                      <m:sty m:val="p"/>
                    </m:rPr>
                    <m:t>−</m:t>
                  </m:r>
                  <m:sSub>
                    <m:e>
                      <m:r>
                        <m:t>E</m:t>
                      </m:r>
                    </m:e>
                    <m:sub>
                      <m:r>
                        <m:t>c</m:t>
                      </m:r>
                      <m:r>
                        <m:rPr>
                          <m:sty m:val="p"/>
                        </m:rPr>
                        <m:t>,</m:t>
                      </m:r>
                      <m:r>
                        <m:t>t</m:t>
                      </m:r>
                    </m:sub>
                  </m:sSub>
                </m:e>
              </m:d>
            </m:num>
            <m:den>
              <m:r>
                <m:t>3</m:t>
              </m:r>
            </m:den>
          </m:f>
          <m:r>
            <m:rPr>
              <m:sty m:val="p"/>
            </m:rPr>
            <m:t>,</m:t>
          </m:r>
        </m:oMath>
      </m:oMathPara>
    </w:p>
    <w:p>
      <w:pPr>
        <w:pStyle w:val="FirstParagraph"/>
      </w:pPr>
      <w:r>
        <w:t xml:space="preserve">where</w:t>
      </w:r>
      <w:r>
        <w:t xml:space="preserve"> </w:t>
      </w:r>
      <m:oMath>
        <m:r>
          <m:t>W</m:t>
        </m:r>
      </m:oMath>
      <w:r>
        <w:t xml:space="preserve">,</w:t>
      </w:r>
      <w:r>
        <w:t xml:space="preserve"> </w:t>
      </w:r>
      <m:oMath>
        <m:r>
          <m:t>S</m:t>
        </m:r>
      </m:oMath>
      <w:r>
        <w:t xml:space="preserve">, and</w:t>
      </w:r>
      <w:r>
        <w:t xml:space="preserve"> </w:t>
      </w:r>
      <m:oMath>
        <m:r>
          <m:t>E</m:t>
        </m:r>
      </m:oMath>
      <w:r>
        <w:t xml:space="preserve"> </w:t>
      </w:r>
      <w:r>
        <w:t xml:space="preserve">are the percentages of the population using at least basic drinking-water services (</w:t>
      </w:r>
      <w:r>
        <w:rPr>
          <w:rStyle w:val="VerbatimChar"/>
        </w:rPr>
        <w:t xml:space="preserve">SH.H2O.BASW.ZS</w:t>
      </w:r>
      <w:r>
        <w:t xml:space="preserve">), basic sanitation services (</w:t>
      </w:r>
      <w:r>
        <w:rPr>
          <w:rStyle w:val="VerbatimChar"/>
        </w:rPr>
        <w:t xml:space="preserve">SH.STA.BASS.ZS</w:t>
      </w:r>
      <w:r>
        <w:t xml:space="preserve">), and electricity access (</w:t>
      </w:r>
      <w:r>
        <w:rPr>
          <w:rStyle w:val="VerbatimChar"/>
        </w:rPr>
        <w:t xml:space="preserve">EG.ELC.ACCS.ZS</w:t>
      </w:r>
      <w:r>
        <w:t xml:space="preserve">). The index ranges from 0 (full access) to 100 (complete deprivation). This is a country-year service-access index, not a household multidimensional-poverty measure.</w:t>
      </w:r>
    </w:p>
    <w:bookmarkEnd w:id="41"/>
    <w:bookmarkStart w:id="45" w:name="data-dictionary"/>
    <w:p>
      <w:pPr>
        <w:pStyle w:val="Heading2"/>
      </w:pPr>
      <w:r>
        <w:t xml:space="preserve">Data Dictionary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left"/>
            </w:pPr>
            <w:r>
              <w:t xml:space="preserve">WDI code</w:t>
            </w:r>
          </w:p>
        </w:tc>
        <w:tc>
          <w:tcPr/>
          <w:p>
            <w:pPr>
              <w:pStyle w:val="Compact"/>
              <w:jc w:val="left"/>
            </w:pPr>
            <w:r>
              <w:t xml:space="preserve">Unit/encoding</w:t>
            </w:r>
          </w:p>
        </w:tc>
        <w:tc>
          <w:tcPr/>
          <w:p>
            <w:pPr>
              <w:pStyle w:val="Compact"/>
              <w:jc w:val="left"/>
            </w:pPr>
            <w:r>
              <w:t xml:space="preserve">Role</w:t>
            </w:r>
          </w:p>
        </w:tc>
        <w:tc>
          <w:tcPr/>
          <w:p>
            <w:pPr>
              <w:pStyle w:val="Compact"/>
              <w:jc w:val="left"/>
            </w:pPr>
            <w:r>
              <w:t xml:space="preserve">Timing</w:t>
            </w:r>
          </w:p>
        </w:tc>
        <w:tc>
          <w:tcPr/>
          <w:p>
            <w:pPr>
              <w:pStyle w:val="Compact"/>
              <w:jc w:val="left"/>
            </w:pPr>
            <w:r>
              <w:t xml:space="preserve">Missing rule</w:t>
            </w:r>
          </w:p>
        </w:tc>
      </w:tr>
      <w:tr>
        <w:tc>
          <w:tcPr/>
          <w:p>
            <w:pPr>
              <w:pStyle w:val="Compact"/>
              <w:jc w:val="left"/>
            </w:pPr>
            <w:r>
              <w:rPr>
                <w:rStyle w:val="VerbatimChar"/>
              </w:rPr>
              <w:t xml:space="preserve">country_code</w:t>
            </w:r>
          </w:p>
        </w:tc>
        <w:tc>
          <w:tcPr/>
          <w:p>
            <w:pPr>
              <w:pStyle w:val="Compact"/>
              <w:jc w:val="left"/>
            </w:pPr>
            <w:r>
              <w:t xml:space="preserve">Metadata</w:t>
            </w:r>
          </w:p>
        </w:tc>
        <w:tc>
          <w:tcPr/>
          <w:p>
            <w:pPr>
              <w:pStyle w:val="Compact"/>
              <w:jc w:val="left"/>
            </w:pPr>
            <w:r>
              <w:t xml:space="preserve">ISO-3 code</w:t>
            </w:r>
          </w:p>
        </w:tc>
        <w:tc>
          <w:tcPr/>
          <w:p>
            <w:pPr>
              <w:pStyle w:val="Compact"/>
              <w:jc w:val="left"/>
            </w:pPr>
            <w:r>
              <w:t xml:space="preserve">Identifier</w:t>
            </w:r>
          </w:p>
        </w:tc>
        <w:tc>
          <w:tcPr/>
          <w:p>
            <w:pPr>
              <w:pStyle w:val="Compact"/>
              <w:jc w:val="left"/>
            </w:pPr>
            <w:r>
              <w:t xml:space="preserve">Country-year</w:t>
            </w:r>
          </w:p>
        </w:tc>
        <w:tc>
          <w:tcPr/>
          <w:p>
            <w:pPr>
              <w:pStyle w:val="Compact"/>
              <w:jc w:val="left"/>
            </w:pPr>
            <w:r>
              <w:t xml:space="preserve">Required</w:t>
            </w:r>
          </w:p>
        </w:tc>
      </w:tr>
      <w:tr>
        <w:tc>
          <w:tcPr/>
          <w:p>
            <w:pPr>
              <w:pStyle w:val="Compact"/>
              <w:jc w:val="left"/>
            </w:pPr>
            <w:r>
              <w:rPr>
                <w:rStyle w:val="VerbatimChar"/>
              </w:rPr>
              <w:t xml:space="preserve">country_name</w:t>
            </w:r>
          </w:p>
        </w:tc>
        <w:tc>
          <w:tcPr/>
          <w:p>
            <w:pPr>
              <w:pStyle w:val="Compact"/>
              <w:jc w:val="left"/>
            </w:pPr>
            <w:r>
              <w:t xml:space="preserve">Metadata</w:t>
            </w:r>
          </w:p>
        </w:tc>
        <w:tc>
          <w:tcPr/>
          <w:p>
            <w:pPr>
              <w:pStyle w:val="Compact"/>
              <w:jc w:val="left"/>
            </w:pPr>
            <w:r>
              <w:t xml:space="preserve">Text</w:t>
            </w:r>
          </w:p>
        </w:tc>
        <w:tc>
          <w:tcPr/>
          <w:p>
            <w:pPr>
              <w:pStyle w:val="Compact"/>
              <w:jc w:val="left"/>
            </w:pPr>
            <w:r>
              <w:t xml:space="preserve">Label</w:t>
            </w:r>
          </w:p>
        </w:tc>
        <w:tc>
          <w:tcPr/>
          <w:p>
            <w:pPr>
              <w:pStyle w:val="Compact"/>
              <w:jc w:val="left"/>
            </w:pPr>
            <w:r>
              <w:t xml:space="preserve">Country-year</w:t>
            </w:r>
          </w:p>
        </w:tc>
        <w:tc>
          <w:tcPr/>
          <w:p>
            <w:pPr>
              <w:pStyle w:val="Compact"/>
              <w:jc w:val="left"/>
            </w:pPr>
            <w:r>
              <w:t xml:space="preserve">Required</w:t>
            </w:r>
          </w:p>
        </w:tc>
      </w:tr>
      <w:tr>
        <w:tc>
          <w:tcPr/>
          <w:p>
            <w:pPr>
              <w:pStyle w:val="Compact"/>
              <w:jc w:val="left"/>
            </w:pPr>
            <w:r>
              <w:rPr>
                <w:rStyle w:val="VerbatimChar"/>
              </w:rPr>
              <w:t xml:space="preserve">year</w:t>
            </w:r>
          </w:p>
        </w:tc>
        <w:tc>
          <w:tcPr/>
          <w:p>
            <w:pPr>
              <w:pStyle w:val="Compact"/>
              <w:jc w:val="left"/>
            </w:pPr>
            <w:r>
              <w:t xml:space="preserve">Observation</w:t>
            </w:r>
          </w:p>
        </w:tc>
        <w:tc>
          <w:tcPr/>
          <w:p>
            <w:pPr>
              <w:pStyle w:val="Compact"/>
              <w:jc w:val="left"/>
            </w:pPr>
            <w:r>
              <w:t xml:space="preserve">Calendar year</w:t>
            </w:r>
          </w:p>
        </w:tc>
        <w:tc>
          <w:tcPr/>
          <w:p>
            <w:pPr>
              <w:pStyle w:val="Compact"/>
              <w:jc w:val="left"/>
            </w:pPr>
            <w:r>
              <w:t xml:space="preserve">Time index</w:t>
            </w:r>
          </w:p>
        </w:tc>
        <w:tc>
          <w:tcPr/>
          <w:p>
            <w:pPr>
              <w:pStyle w:val="Compact"/>
              <w:jc w:val="left"/>
            </w:pPr>
            <w:r>
              <w:t xml:space="preserve">2000–2024</w:t>
            </w:r>
          </w:p>
        </w:tc>
        <w:tc>
          <w:tcPr/>
          <w:p>
            <w:pPr>
              <w:pStyle w:val="Compact"/>
              <w:jc w:val="left"/>
            </w:pPr>
            <w:r>
              <w:t xml:space="preserve">Required</w:t>
            </w:r>
          </w:p>
        </w:tc>
      </w:tr>
      <w:tr>
        <w:tc>
          <w:tcPr/>
          <w:p>
            <w:pPr>
              <w:pStyle w:val="Compact"/>
              <w:jc w:val="left"/>
            </w:pPr>
            <w:r>
              <w:rPr>
                <w:rStyle w:val="VerbatimChar"/>
              </w:rPr>
              <w:t xml:space="preserve">water_access_pct</w:t>
            </w:r>
          </w:p>
        </w:tc>
        <w:tc>
          <w:tcPr/>
          <w:p>
            <w:pPr>
              <w:pStyle w:val="Compact"/>
              <w:jc w:val="left"/>
            </w:pPr>
            <w:r>
              <w:rPr>
                <w:rStyle w:val="VerbatimChar"/>
              </w:rPr>
              <w:t xml:space="preserve">SH.H2O.BASW.ZS</w:t>
            </w:r>
          </w:p>
        </w:tc>
        <w:tc>
          <w:tcPr/>
          <w:p>
            <w:pPr>
              <w:pStyle w:val="Compact"/>
              <w:jc w:val="left"/>
            </w:pPr>
            <w:r>
              <w:t xml:space="preserve">%,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sanitation_access_pct</w:t>
            </w:r>
          </w:p>
        </w:tc>
        <w:tc>
          <w:tcPr/>
          <w:p>
            <w:pPr>
              <w:pStyle w:val="Compact"/>
              <w:jc w:val="left"/>
            </w:pPr>
            <w:r>
              <w:rPr>
                <w:rStyle w:val="VerbatimChar"/>
              </w:rPr>
              <w:t xml:space="preserve">SH.STA.BASS.ZS</w:t>
            </w:r>
          </w:p>
        </w:tc>
        <w:tc>
          <w:tcPr/>
          <w:p>
            <w:pPr>
              <w:pStyle w:val="Compact"/>
              <w:jc w:val="left"/>
            </w:pPr>
            <w:r>
              <w:t xml:space="preserve">%,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electricity_access_pct</w:t>
            </w:r>
          </w:p>
        </w:tc>
        <w:tc>
          <w:tcPr/>
          <w:p>
            <w:pPr>
              <w:pStyle w:val="Compact"/>
              <w:jc w:val="left"/>
            </w:pPr>
            <w:r>
              <w:rPr>
                <w:rStyle w:val="VerbatimChar"/>
              </w:rPr>
              <w:t xml:space="preserve">EG.ELC.ACCS.ZS</w:t>
            </w:r>
          </w:p>
        </w:tc>
        <w:tc>
          <w:tcPr/>
          <w:p>
            <w:pPr>
              <w:pStyle w:val="Compact"/>
              <w:jc w:val="left"/>
            </w:pPr>
            <w:r>
              <w:t xml:space="preserve">%,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housing_service_deprivation_pct</w:t>
            </w:r>
          </w:p>
        </w:tc>
        <w:tc>
          <w:tcPr/>
          <w:p>
            <w:pPr>
              <w:pStyle w:val="Compact"/>
              <w:jc w:val="left"/>
            </w:pPr>
            <w:r>
              <w:t xml:space="preserve">Derived</w:t>
            </w:r>
          </w:p>
        </w:tc>
        <w:tc>
          <w:tcPr/>
          <w:p>
            <w:pPr>
              <w:pStyle w:val="Compact"/>
              <w:jc w:val="left"/>
            </w:pPr>
            <w:r>
              <w:t xml:space="preserve">Index pts, 0–100</w:t>
            </w:r>
          </w:p>
        </w:tc>
        <w:tc>
          <w:tcPr/>
          <w:p>
            <w:pPr>
              <w:pStyle w:val="Compact"/>
              <w:jc w:val="left"/>
            </w:pPr>
            <w:r>
              <w:t xml:space="preserve">Primary target</w:t>
            </w:r>
          </w:p>
        </w:tc>
        <w:tc>
          <w:tcPr/>
          <w:p>
            <w:pPr>
              <w:pStyle w:val="Compact"/>
              <w:jc w:val="left"/>
            </w:pPr>
            <w:r>
              <w:t xml:space="preserve">Same year</w:t>
            </w:r>
          </w:p>
        </w:tc>
        <w:tc>
          <w:tcPr/>
          <w:p>
            <w:pPr>
              <w:pStyle w:val="Compact"/>
              <w:jc w:val="left"/>
            </w:pPr>
            <w:r>
              <w:t xml:space="preserve">All 3 components required</w:t>
            </w:r>
          </w:p>
        </w:tc>
      </w:tr>
      <w:tr>
        <w:tc>
          <w:tcPr/>
          <w:p>
            <w:pPr>
              <w:pStyle w:val="Compact"/>
              <w:jc w:val="left"/>
            </w:pPr>
            <w:r>
              <w:rPr>
                <w:rStyle w:val="VerbatimChar"/>
              </w:rPr>
              <w:t xml:space="preserve">high_deprivation</w:t>
            </w:r>
          </w:p>
        </w:tc>
        <w:tc>
          <w:tcPr/>
          <w:p>
            <w:pPr>
              <w:pStyle w:val="Compact"/>
              <w:jc w:val="left"/>
            </w:pPr>
            <w:r>
              <w:t xml:space="preserve">Derived</w:t>
            </w:r>
          </w:p>
        </w:tc>
        <w:tc>
          <w:tcPr/>
          <w:p>
            <w:pPr>
              <w:pStyle w:val="Compact"/>
              <w:jc w:val="left"/>
            </w:pPr>
            <w:r>
              <w:t xml:space="preserve">Binary 0/1</w:t>
            </w:r>
          </w:p>
        </w:tc>
        <w:tc>
          <w:tcPr/>
          <w:p>
            <w:pPr>
              <w:pStyle w:val="Compact"/>
              <w:jc w:val="left"/>
            </w:pPr>
            <w:r>
              <w:t xml:space="preserve">RQ4 target</w:t>
            </w:r>
          </w:p>
        </w:tc>
        <w:tc>
          <w:tcPr/>
          <w:p>
            <w:pPr>
              <w:pStyle w:val="Compact"/>
              <w:jc w:val="left"/>
            </w:pPr>
            <w:r>
              <w:t xml:space="preserve">One-year-ahead</w:t>
            </w:r>
          </w:p>
        </w:tc>
        <w:tc>
          <w:tcPr/>
          <w:p>
            <w:pPr>
              <w:pStyle w:val="Compact"/>
              <w:jc w:val="left"/>
            </w:pPr>
            <w:r>
              <w:t xml:space="preserve">Threshold learned in training</w:t>
            </w:r>
          </w:p>
        </w:tc>
      </w:tr>
      <w:tr>
        <w:tc>
          <w:tcPr/>
          <w:p>
            <w:pPr>
              <w:pStyle w:val="Compact"/>
              <w:jc w:val="left"/>
            </w:pPr>
            <w:r>
              <w:rPr>
                <w:rStyle w:val="VerbatimChar"/>
              </w:rPr>
              <w:t xml:space="preserve">gdp_per_capita_constant_usd</w:t>
            </w:r>
          </w:p>
        </w:tc>
        <w:tc>
          <w:tcPr/>
          <w:p>
            <w:pPr>
              <w:pStyle w:val="Compact"/>
              <w:jc w:val="left"/>
            </w:pPr>
            <w:r>
              <w:rPr>
                <w:rStyle w:val="VerbatimChar"/>
              </w:rPr>
              <w:t xml:space="preserve">NY.GDP.PCAP.KD</w:t>
            </w:r>
          </w:p>
        </w:tc>
        <w:tc>
          <w:tcPr/>
          <w:p>
            <w:pPr>
              <w:pStyle w:val="Compact"/>
              <w:jc w:val="left"/>
            </w:pPr>
            <w:r>
              <w:t xml:space="preserve">Const. 2015 USD</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w:t>
            </w:r>
          </w:p>
        </w:tc>
      </w:tr>
      <w:tr>
        <w:tc>
          <w:tcPr/>
          <w:p>
            <w:pPr>
              <w:pStyle w:val="Compact"/>
              <w:jc w:val="left"/>
            </w:pPr>
            <w:r>
              <w:rPr>
                <w:rStyle w:val="VerbatimChar"/>
              </w:rPr>
              <w:t xml:space="preserve">urban_population_pct</w:t>
            </w:r>
          </w:p>
        </w:tc>
        <w:tc>
          <w:tcPr/>
          <w:p>
            <w:pPr>
              <w:pStyle w:val="Compact"/>
              <w:jc w:val="left"/>
            </w:pPr>
            <w:r>
              <w:rPr>
                <w:rStyle w:val="VerbatimChar"/>
              </w:rPr>
              <w:t xml:space="preserve">SP.URB.TOTL.IN.ZS</w:t>
            </w:r>
          </w:p>
        </w:tc>
        <w:tc>
          <w:tcPr/>
          <w:p>
            <w:pPr>
              <w:pStyle w:val="Compact"/>
              <w:jc w:val="left"/>
            </w:pPr>
            <w:r>
              <w:t xml:space="preserve">%, 0–100</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w:t>
            </w:r>
          </w:p>
        </w:tc>
      </w:tr>
      <w:tr>
        <w:tc>
          <w:tcPr/>
          <w:p>
            <w:pPr>
              <w:pStyle w:val="Compact"/>
              <w:jc w:val="left"/>
            </w:pPr>
            <w:r>
              <w:rPr>
                <w:rStyle w:val="VerbatimChar"/>
              </w:rPr>
              <w:t xml:space="preserve">population_density</w:t>
            </w:r>
          </w:p>
        </w:tc>
        <w:tc>
          <w:tcPr/>
          <w:p>
            <w:pPr>
              <w:pStyle w:val="Compact"/>
              <w:jc w:val="left"/>
            </w:pPr>
            <w:r>
              <w:rPr>
                <w:rStyle w:val="VerbatimChar"/>
              </w:rPr>
              <w:t xml:space="preserve">EN.POP.DNST</w:t>
            </w:r>
          </w:p>
        </w:tc>
        <w:tc>
          <w:tcPr/>
          <w:p>
            <w:pPr>
              <w:pStyle w:val="Compact"/>
              <w:jc w:val="left"/>
            </w:pPr>
            <w:r>
              <w:t xml:space="preserve">People/km²</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w:t>
            </w:r>
          </w:p>
        </w:tc>
      </w:tr>
      <w:tr>
        <w:tc>
          <w:tcPr/>
          <w:p>
            <w:pPr>
              <w:pStyle w:val="Compact"/>
              <w:jc w:val="left"/>
            </w:pPr>
            <w:r>
              <w:rPr>
                <w:rStyle w:val="VerbatimChar"/>
              </w:rPr>
              <w:t xml:space="preserve">population_total</w:t>
            </w:r>
          </w:p>
        </w:tc>
        <w:tc>
          <w:tcPr/>
          <w:p>
            <w:pPr>
              <w:pStyle w:val="Compact"/>
              <w:jc w:val="left"/>
            </w:pPr>
            <w:r>
              <w:rPr>
                <w:rStyle w:val="VerbatimChar"/>
              </w:rPr>
              <w:t xml:space="preserve">SP.POP.TOTL</w:t>
            </w:r>
          </w:p>
        </w:tc>
        <w:tc>
          <w:tcPr/>
          <w:p>
            <w:pPr>
              <w:pStyle w:val="Compact"/>
              <w:jc w:val="left"/>
            </w:pPr>
            <w:r>
              <w:t xml:space="preserve">Persons</w:t>
            </w:r>
          </w:p>
        </w:tc>
        <w:tc>
          <w:tcPr/>
          <w:p>
            <w:pPr>
              <w:pStyle w:val="Compact"/>
              <w:jc w:val="left"/>
            </w:pPr>
            <w:r>
              <w:t xml:space="preserve">Predictor</w:t>
            </w:r>
          </w:p>
        </w:tc>
        <w:tc>
          <w:tcPr/>
          <w:p>
            <w:pPr>
              <w:pStyle w:val="Compact"/>
              <w:jc w:val="left"/>
            </w:pPr>
            <w:r>
              <w:t xml:space="preserve">Prior year (RQ4); log-transform</w:t>
            </w:r>
          </w:p>
        </w:tc>
        <w:tc>
          <w:tcPr/>
          <w:p>
            <w:pPr>
              <w:pStyle w:val="Compact"/>
              <w:jc w:val="left"/>
            </w:pPr>
            <w:r>
              <w:t xml:space="preserve">Complete-case</w:t>
            </w:r>
          </w:p>
        </w:tc>
      </w:tr>
    </w:tbl>
    <w:p>
      <w:pPr>
        <w:pStyle w:val="CaptionedFigure"/>
      </w:pPr>
      <w:r>
        <w:drawing>
          <wp:inline>
            <wp:extent cx="4800600" cy="2581581"/>
            <wp:effectExtent b="0" l="0" r="0" t="0"/>
            <wp:docPr descr="Active panel preview" title="" id="43" name="Picture"/>
            <a:graphic>
              <a:graphicData uri="http://schemas.openxmlformats.org/drawingml/2006/picture">
                <pic:pic>
                  <pic:nvPicPr>
                    <pic:cNvPr descr="figures/figure_2_panel_preview.png" id="44" name="Picture"/>
                    <pic:cNvPicPr>
                      <a:picLocks noChangeArrowheads="1" noChangeAspect="1"/>
                    </pic:cNvPicPr>
                  </pic:nvPicPr>
                  <pic:blipFill>
                    <a:blip r:embed="rId42"/>
                    <a:stretch>
                      <a:fillRect/>
                    </a:stretch>
                  </pic:blipFill>
                  <pic:spPr bwMode="auto">
                    <a:xfrm>
                      <a:off x="0" y="0"/>
                      <a:ext cx="4800600" cy="2581581"/>
                    </a:xfrm>
                    <a:prstGeom prst="rect">
                      <a:avLst/>
                    </a:prstGeom>
                    <a:noFill/>
                    <a:ln w="9525">
                      <a:noFill/>
                      <a:headEnd/>
                      <a:tailEnd/>
                    </a:ln>
                  </pic:spPr>
                </pic:pic>
              </a:graphicData>
            </a:graphic>
          </wp:inline>
        </w:drawing>
      </w:r>
    </w:p>
    <w:p>
      <w:pPr>
        <w:pStyle w:val="ImageCaption"/>
      </w:pPr>
      <w:r>
        <w:t xml:space="preserve">Active panel preview</w:t>
      </w:r>
    </w:p>
    <w:p>
      <w:pPr>
        <w:pStyle w:val="BodyText"/>
      </w:pPr>
      <w:r>
        <w:rPr>
          <w:iCs/>
          <w:i/>
        </w:rPr>
        <w:t xml:space="preserve">Figure 2. Panel preview: first 10 rows showing the country-year structure, target components, and the derived deprivation index. The target is deterministically computed from the three access percentages.</w:t>
      </w:r>
    </w:p>
    <w:bookmarkEnd w:id="45"/>
    <w:bookmarkStart w:id="46" w:name="data-quality"/>
    <w:p>
      <w:pPr>
        <w:pStyle w:val="Heading2"/>
      </w:pPr>
      <w:r>
        <w:t xml:space="preserve">Data Quality</w:t>
      </w:r>
    </w:p>
    <w:p>
      <w:pPr>
        <w:pStyle w:val="FirstParagraph"/>
      </w:pPr>
      <w:r>
        <w:t xml:space="preserve">The panel contains 1,325 rows, 53 countries, years 2000–2024, and zero duplicate country-year keys. The target is complete for 1,276 rows; the complete contemporaneous modeling set contains 1,189 rows. Missingness is managed by documenting complete-case counts, comparing included versus excluded countries, and running sensitivity analyses. A SHA-256 hash of the frozen CSV will be recorded before modeling. No individual-level sensitive attributes are present; country and subregion are used for clustering and comparison, not for individual eligibility decisions.</w:t>
      </w:r>
    </w:p>
    <w:bookmarkEnd w:id="46"/>
    <w:bookmarkEnd w:id="47"/>
    <w:bookmarkStart w:id="48" w:name="analytic-approach"/>
    <w:p>
      <w:pPr>
        <w:pStyle w:val="Heading1"/>
      </w:pPr>
      <w:r>
        <w:t xml:space="preserve">Analytic Approach</w:t>
      </w:r>
    </w:p>
    <w:p>
      <w:pPr>
        <w:pStyle w:val="FirstParagraph"/>
      </w:pPr>
      <w:r>
        <w:t xml:space="preserve">The analysis proceeds in five stages: (a) freeze and audit the panel; (b) produce descriptive summaries, annual trajectories, and subregional profiles; (c) estimate inferential associations with country and year effects and country-aware uncertainty; (d) construct the leakage-controlled one-year-ahead classification target and evaluate classifiers chronologically; and (e) conduct sensitivity analyses covering threshold choice, component weighting, missingness, and country-coverage. All inferential tests use a two-sided</w:t>
      </w:r>
      <w:r>
        <w:t xml:space="preserve"> </w:t>
      </w:r>
      <m:oMath>
        <m:r>
          <m:t>α</m:t>
        </m:r>
        <m:r>
          <m:rPr>
            <m:sty m:val="p"/>
          </m:rPr>
          <m:t>=</m:t>
        </m:r>
        <m:r>
          <m:t>0.05</m:t>
        </m:r>
      </m:oMath>
      <w:r>
        <w:t xml:space="preserve"> </w:t>
      </w:r>
      <w:r>
        <w:t xml:space="preserve">decision rule with 95% confidence intervals. Random row-splitting is prohibited for RQ4; chronological and country-blocked splits are required.</w:t>
      </w:r>
    </w:p>
    <w:bookmarkEnd w:id="48"/>
    <w:bookmarkStart w:id="53" w:name="solution-to-rq1rq4"/>
    <w:p>
      <w:pPr>
        <w:pStyle w:val="Heading1"/>
      </w:pPr>
      <w:r>
        <w:t xml:space="preserve">Solution to RQ1–RQ4</w:t>
      </w:r>
    </w:p>
    <w:bookmarkStart w:id="49" w:name="rq1-temporal-trends"/>
    <w:p>
      <w:pPr>
        <w:pStyle w:val="Heading2"/>
      </w:pPr>
      <w:r>
        <w:t xml:space="preserve">RQ1: Temporal Trends</w:t>
      </w:r>
    </w:p>
    <w:p>
      <w:pPr>
        <w:pStyle w:val="FirstParagraph"/>
      </w:pPr>
      <w:r>
        <w:t xml:space="preserve">RQ1 uses a fixed-effects trend model to separate within-country improvement from cross-country heterogeneity:</w:t>
      </w:r>
    </w:p>
    <w:p>
      <w:pPr>
        <w:pStyle w:val="BodyText"/>
      </w:pPr>
      <m:oMathPara>
        <m:oMathParaPr>
          <m:jc m:val="center"/>
        </m:oMathParaPr>
        <m:oMath>
          <m:sSub>
            <m:e>
              <m:r>
                <m:t>D</m:t>
              </m:r>
            </m:e>
            <m:sub>
              <m:r>
                <m:t>c</m:t>
              </m:r>
              <m:r>
                <m:rPr>
                  <m:sty m:val="p"/>
                </m:rPr>
                <m:t>,</m:t>
              </m:r>
              <m:r>
                <m:t>t</m:t>
              </m:r>
            </m:sub>
          </m:sSub>
          <m:r>
            <m:rPr>
              <m:sty m:val="p"/>
            </m:rPr>
            <m:t>=</m:t>
          </m:r>
          <m:sSub>
            <m:e>
              <m:r>
                <m:t>α</m:t>
              </m:r>
            </m:e>
            <m:sub>
              <m:r>
                <m:t>c</m:t>
              </m:r>
            </m:sub>
          </m:sSub>
          <m:r>
            <m:rPr>
              <m:sty m:val="p"/>
            </m:rPr>
            <m:t>+</m:t>
          </m:r>
          <m:sSub>
            <m:e>
              <m:r>
                <m:t>γ</m:t>
              </m:r>
            </m:e>
            <m:sub>
              <m:r>
                <m:t>t</m:t>
              </m:r>
            </m:sub>
          </m:sSub>
          <m:r>
            <m:rPr>
              <m:sty m:val="p"/>
            </m:rPr>
            <m:t>+</m:t>
          </m:r>
          <m:r>
            <m:t>β</m:t>
          </m:r>
          <m:r>
            <m:t> </m:t>
          </m:r>
          <m:r>
            <m:t>t</m:t>
          </m:r>
          <m:r>
            <m:rPr>
              <m:sty m:val="p"/>
            </m:rPr>
            <m:t>+</m:t>
          </m:r>
          <m:sSub>
            <m:e>
              <m:r>
                <m:t>ϵ</m:t>
              </m:r>
            </m:e>
            <m:sub>
              <m:r>
                <m:t>c</m:t>
              </m:r>
              <m:r>
                <m:rPr>
                  <m:sty m:val="p"/>
                </m:rPr>
                <m:t>,</m:t>
              </m:r>
              <m:r>
                <m:t>t</m:t>
              </m:r>
            </m:sub>
          </m:sSub>
          <m:r>
            <m:rPr>
              <m:sty m:val="p"/>
            </m:rPr>
            <m:t>,</m:t>
          </m:r>
        </m:oMath>
      </m:oMathPara>
    </w:p>
    <w:p>
      <w:pPr>
        <w:pStyle w:val="FirstParagraph"/>
      </w:pPr>
      <w:r>
        <w:t xml:space="preserve">where</w:t>
      </w:r>
      <w:r>
        <w:t xml:space="preserve"> </w:t>
      </w:r>
      <m:oMath>
        <m:sSub>
          <m:e>
            <m:r>
              <m:t>α</m:t>
            </m:r>
          </m:e>
          <m:sub>
            <m:r>
              <m:t>c</m:t>
            </m:r>
          </m:sub>
        </m:sSub>
      </m:oMath>
      <w:r>
        <w:t xml:space="preserve"> </w:t>
      </w:r>
      <w:r>
        <w:t xml:space="preserve">captures country fixed effects,</w:t>
      </w:r>
      <w:r>
        <w:t xml:space="preserve"> </w:t>
      </w:r>
      <m:oMath>
        <m:sSub>
          <m:e>
            <m:r>
              <m:t>γ</m:t>
            </m:r>
          </m:e>
          <m:sub>
            <m:r>
              <m:t>t</m:t>
            </m:r>
          </m:sub>
        </m:sSub>
      </m:oMath>
      <w:r>
        <w:t xml:space="preserve"> </w:t>
      </w:r>
      <w:r>
        <w:t xml:space="preserve">captures common year effects, and</w:t>
      </w:r>
      <w:r>
        <w:t xml:space="preserve"> </w:t>
      </w:r>
      <m:oMath>
        <m:r>
          <m:t>β</m:t>
        </m:r>
      </m:oMath>
      <w:r>
        <w:t xml:space="preserve"> </w:t>
      </w:r>
      <w:r>
        <w:t xml:space="preserve">summarizes the residual linear time trend.</w:t>
      </w:r>
      <w:r>
        <w:t xml:space="preserve"> </w:t>
      </w:r>
      <m:oMath>
        <m:sSub>
          <m:e>
            <m:r>
              <m:t>H</m:t>
            </m:r>
          </m:e>
          <m:sub>
            <m:r>
              <m:t>0</m:t>
            </m:r>
            <m:r>
              <m:rPr>
                <m:sty m:val="p"/>
              </m:rPr>
              <m:t>,</m:t>
            </m:r>
            <m:r>
              <m:t>1</m:t>
            </m:r>
          </m:sub>
        </m:sSub>
      </m:oMath>
      <w:r>
        <w:t xml:space="preserve"> </w:t>
      </w:r>
      <w:r>
        <w:t xml:space="preserve">is rejected when the 95% confidence interval for</w:t>
      </w:r>
      <w:r>
        <w:t xml:space="preserve"> </w:t>
      </w:r>
      <m:oMath>
        <m:acc>
          <m:accPr>
            <m:chr m:val="̂"/>
          </m:accPr>
          <m:e>
            <m:r>
              <m:t>β</m:t>
            </m:r>
          </m:e>
        </m:acc>
      </m:oMath>
      <w:r>
        <w:t xml:space="preserve"> </w:t>
      </w:r>
      <w:r>
        <w:t xml:space="preserve">excludes zero. Outputs are an annual trend table, a country-trajectory figure, and a distribution comparison for early versus late years; time is treated as an analytical index, not a cause.</w:t>
      </w:r>
    </w:p>
    <w:bookmarkEnd w:id="49"/>
    <w:bookmarkStart w:id="50" w:name="X8d2f49217e69f8b1ef845f528398f523e173039"/>
    <w:p>
      <w:pPr>
        <w:pStyle w:val="Heading2"/>
      </w:pPr>
      <w:r>
        <w:t xml:space="preserve">RQ2: Economic and Demographic Associations</w:t>
      </w:r>
    </w:p>
    <w:p>
      <w:pPr>
        <w:pStyle w:val="FirstParagraph"/>
      </w:pPr>
      <w:r>
        <w:t xml:space="preserve">RQ2 uses a prespecified fixed-effects regression:</w:t>
      </w:r>
    </w:p>
    <w:p>
      <w:pPr>
        <w:pStyle w:val="BodyText"/>
      </w:pPr>
      <m:oMathPara>
        <m:oMathParaPr>
          <m:jc m:val="center"/>
        </m:oMathParaPr>
        <m:oMath>
          <m:sSub>
            <m:e>
              <m:r>
                <m:t>D</m:t>
              </m:r>
            </m:e>
            <m:sub>
              <m:r>
                <m:t>c</m:t>
              </m:r>
              <m:r>
                <m:rPr>
                  <m:sty m:val="p"/>
                </m:rPr>
                <m:t>,</m:t>
              </m:r>
              <m:r>
                <m:t>t</m:t>
              </m:r>
            </m:sub>
          </m:sSub>
          <m:r>
            <m:rPr>
              <m:sty m:val="p"/>
            </m:rPr>
            <m:t>=</m:t>
          </m:r>
          <m:sSub>
            <m:e>
              <m:r>
                <m:t>α</m:t>
              </m:r>
            </m:e>
            <m:sub>
              <m:r>
                <m:t>c</m:t>
              </m:r>
            </m:sub>
          </m:sSub>
          <m:r>
            <m:rPr>
              <m:sty m:val="p"/>
            </m:rPr>
            <m:t>+</m:t>
          </m:r>
          <m:sSub>
            <m:e>
              <m:r>
                <m:t>γ</m:t>
              </m:r>
            </m:e>
            <m:sub>
              <m:r>
                <m:t>t</m:t>
              </m:r>
            </m:sub>
          </m:sSub>
          <m:r>
            <m:rPr>
              <m:sty m:val="p"/>
            </m:rPr>
            <m:t>+</m:t>
          </m:r>
          <m:sSub>
            <m:e>
              <m:r>
                <m:t>β</m:t>
              </m:r>
            </m:e>
            <m:sub>
              <m:r>
                <m:t>1</m:t>
              </m:r>
            </m:sub>
          </m:sSub>
          <m:r>
            <m:rPr>
              <m:sty m:val="p"/>
            </m:rPr>
            <m:t>log</m:t>
          </m:r>
          <m:d>
            <m:dPr>
              <m:begChr m:val="("/>
              <m:endChr m:val=")"/>
              <m:sepChr m:val=""/>
              <m:grow/>
            </m:dPr>
            <m:e>
              <m:r>
                <m:t>G</m:t>
              </m:r>
              <m:r>
                <m:t>D</m:t>
              </m:r>
              <m:sSub>
                <m:e>
                  <m:r>
                    <m:t>P</m:t>
                  </m:r>
                </m:e>
                <m:sub>
                  <m:r>
                    <m:t>c</m:t>
                  </m:r>
                  <m:r>
                    <m:rPr>
                      <m:sty m:val="p"/>
                    </m:rPr>
                    <m:t>,</m:t>
                  </m:r>
                  <m:r>
                    <m:t>t</m:t>
                  </m:r>
                </m:sub>
              </m:sSub>
            </m:e>
          </m:d>
          <m:r>
            <m:rPr>
              <m:sty m:val="p"/>
            </m:rPr>
            <m:t>+</m:t>
          </m:r>
          <m:sSub>
            <m:e>
              <m:r>
                <m:t>β</m:t>
              </m:r>
            </m:e>
            <m:sub>
              <m:r>
                <m:t>2</m:t>
              </m:r>
            </m:sub>
          </m:sSub>
          <m:r>
            <m:t>U</m:t>
          </m:r>
          <m:r>
            <m:t>r</m:t>
          </m:r>
          <m:r>
            <m:t>b</m:t>
          </m:r>
          <m:r>
            <m:t>a</m:t>
          </m:r>
          <m:sSub>
            <m:e>
              <m:r>
                <m:t>n</m:t>
              </m:r>
            </m:e>
            <m:sub>
              <m:r>
                <m:t>c</m:t>
              </m:r>
              <m:r>
                <m:rPr>
                  <m:sty m:val="p"/>
                </m:rPr>
                <m:t>,</m:t>
              </m:r>
              <m:r>
                <m:t>t</m:t>
              </m:r>
            </m:sub>
          </m:sSub>
          <m:r>
            <m:rPr>
              <m:sty m:val="p"/>
            </m:rPr>
            <m:t>+</m:t>
          </m:r>
          <m:sSub>
            <m:e>
              <m:r>
                <m:t>β</m:t>
              </m:r>
            </m:e>
            <m:sub>
              <m:r>
                <m:t>3</m:t>
              </m:r>
            </m:sub>
          </m:sSub>
          <m:r>
            <m:t>D</m:t>
          </m:r>
          <m:r>
            <m:t>e</m:t>
          </m:r>
          <m:r>
            <m:t>n</m:t>
          </m:r>
          <m:r>
            <m:t>s</m:t>
          </m:r>
          <m:r>
            <m:t>i</m:t>
          </m:r>
          <m:r>
            <m:t>t</m:t>
          </m:r>
          <m:sSub>
            <m:e>
              <m:r>
                <m:t>y</m:t>
              </m:r>
            </m:e>
            <m:sub>
              <m:r>
                <m:t>c</m:t>
              </m:r>
              <m:r>
                <m:rPr>
                  <m:sty m:val="p"/>
                </m:rPr>
                <m:t>,</m:t>
              </m:r>
              <m:r>
                <m:t>t</m:t>
              </m:r>
            </m:sub>
          </m:sSub>
          <m:r>
            <m:rPr>
              <m:sty m:val="p"/>
            </m:rPr>
            <m:t>+</m:t>
          </m:r>
          <m:sSub>
            <m:e>
              <m:r>
                <m:t>β</m:t>
              </m:r>
            </m:e>
            <m:sub>
              <m:r>
                <m:t>4</m:t>
              </m:r>
            </m:sub>
          </m:sSub>
          <m:r>
            <m:rPr>
              <m:sty m:val="p"/>
            </m:rPr>
            <m:t>log</m:t>
          </m:r>
          <m:d>
            <m:dPr>
              <m:begChr m:val="("/>
              <m:endChr m:val=")"/>
              <m:sepChr m:val=""/>
              <m:grow/>
            </m:dPr>
            <m:e>
              <m:r>
                <m:t>P</m:t>
              </m:r>
              <m:r>
                <m:t>o</m:t>
              </m:r>
              <m:sSub>
                <m:e>
                  <m:r>
                    <m:t>p</m:t>
                  </m:r>
                </m:e>
                <m:sub>
                  <m:r>
                    <m:t>c</m:t>
                  </m:r>
                  <m:r>
                    <m:rPr>
                      <m:sty m:val="p"/>
                    </m:rPr>
                    <m:t>,</m:t>
                  </m:r>
                  <m:r>
                    <m:t>t</m:t>
                  </m:r>
                </m:sub>
              </m:sSub>
            </m:e>
          </m:d>
          <m:r>
            <m:rPr>
              <m:sty m:val="p"/>
            </m:rPr>
            <m:t>+</m:t>
          </m:r>
          <m:sSub>
            <m:e>
              <m:r>
                <m:t>ϵ</m:t>
              </m:r>
            </m:e>
            <m:sub>
              <m:r>
                <m:t>c</m:t>
              </m:r>
              <m:r>
                <m:rPr>
                  <m:sty m:val="p"/>
                </m:rPr>
                <m:t>,</m:t>
              </m:r>
              <m:r>
                <m:t>t</m:t>
              </m:r>
            </m:sub>
          </m:sSub>
          <m:r>
            <m:rPr>
              <m:sty m:val="p"/>
            </m:rPr>
            <m:t>.</m:t>
          </m:r>
        </m:oMath>
      </m:oMathPara>
    </w:p>
    <w:p>
      <w:pPr>
        <w:pStyle w:val="FirstParagraph"/>
      </w:pPr>
      <w:r>
        <w:t xml:space="preserve">The joint null is tested with a two-sided Wald or partial-</w:t>
      </w:r>
      <m:oMath>
        <m:r>
          <m:t>F</m:t>
        </m:r>
      </m:oMath>
      <w:r>
        <w:t xml:space="preserve"> </w:t>
      </w:r>
      <w:r>
        <w:t xml:space="preserve">statistic at</w:t>
      </w:r>
      <w:r>
        <w:t xml:space="preserve"> </w:t>
      </w:r>
      <m:oMath>
        <m:r>
          <m:t>α</m:t>
        </m:r>
        <m:r>
          <m:rPr>
            <m:sty m:val="p"/>
          </m:rPr>
          <m:t>=</m:t>
        </m:r>
        <m:r>
          <m:t>0.05</m:t>
        </m:r>
      </m:oMath>
      <w:r>
        <w:t xml:space="preserve">. Variance-inflation diagnostics and sensitivity analyses excluding countries with sparse coverage will be reported. All coefficient estimates are associations, not causal effects.</w:t>
      </w:r>
    </w:p>
    <w:bookmarkEnd w:id="50"/>
    <w:bookmarkStart w:id="51" w:name="rq3-subregional-differences"/>
    <w:p>
      <w:pPr>
        <w:pStyle w:val="Heading2"/>
      </w:pPr>
      <w:r>
        <w:t xml:space="preserve">RQ3: Subregional Differences</w:t>
      </w:r>
    </w:p>
    <w:p>
      <w:pPr>
        <w:pStyle w:val="FirstParagraph"/>
      </w:pPr>
      <w:r>
        <w:t xml:space="preserve">Each country is assigned to a prespecified African subregion (Northern, Western, Middle, Eastern, Southern) using a documented mapping stored in the repository. The year-adjusted model is:</w:t>
      </w:r>
    </w:p>
    <w:p>
      <w:pPr>
        <w:pStyle w:val="BodyText"/>
      </w:pPr>
      <m:oMathPara>
        <m:oMathParaPr>
          <m:jc m:val="center"/>
        </m:oMathParaPr>
        <m:oMath>
          <m:sSub>
            <m:e>
              <m:r>
                <m:t>D</m:t>
              </m:r>
            </m:e>
            <m:sub>
              <m:r>
                <m:t>c</m:t>
              </m:r>
              <m:r>
                <m:rPr>
                  <m:sty m:val="p"/>
                </m:rPr>
                <m:t>,</m:t>
              </m:r>
              <m:r>
                <m:t>t</m:t>
              </m:r>
            </m:sub>
          </m:sSub>
          <m:r>
            <m:rPr>
              <m:sty m:val="p"/>
            </m:rPr>
            <m:t>=</m:t>
          </m:r>
          <m:r>
            <m:t>α</m:t>
          </m:r>
          <m:r>
            <m:rPr>
              <m:sty m:val="p"/>
            </m:rPr>
            <m:t>+</m:t>
          </m:r>
          <m:sSub>
            <m:e>
              <m:r>
                <m:t>δ</m:t>
              </m:r>
            </m:e>
            <m:sub>
              <m:r>
                <m:t>r</m:t>
              </m:r>
              <m:r>
                <m:t>e</m:t>
              </m:r>
              <m:r>
                <m:t>g</m:t>
              </m:r>
              <m:r>
                <m:t>i</m:t>
              </m:r>
              <m:r>
                <m:t>o</m:t>
              </m:r>
              <m:r>
                <m:t>n</m:t>
              </m:r>
              <m:d>
                <m:dPr>
                  <m:begChr m:val="("/>
                  <m:endChr m:val=")"/>
                  <m:sepChr m:val=""/>
                  <m:grow/>
                </m:dPr>
                <m:e>
                  <m:r>
                    <m:t>c</m:t>
                  </m:r>
                </m:e>
              </m:d>
            </m:sub>
          </m:sSub>
          <m:r>
            <m:rPr>
              <m:sty m:val="p"/>
            </m:rPr>
            <m:t>+</m:t>
          </m:r>
          <m:sSub>
            <m:e>
              <m:r>
                <m:t>γ</m:t>
              </m:r>
            </m:e>
            <m:sub>
              <m:r>
                <m:t>t</m:t>
              </m:r>
            </m:sub>
          </m:sSub>
          <m:r>
            <m:rPr>
              <m:sty m:val="p"/>
            </m:rPr>
            <m:t>+</m:t>
          </m:r>
          <m:sSub>
            <m:e>
              <m:r>
                <m:t>ϵ</m:t>
              </m:r>
            </m:e>
            <m:sub>
              <m:r>
                <m:t>c</m:t>
              </m:r>
              <m:r>
                <m:rPr>
                  <m:sty m:val="p"/>
                </m:rPr>
                <m:t>,</m:t>
              </m:r>
              <m:r>
                <m:t>t</m:t>
              </m:r>
            </m:sub>
          </m:sSub>
          <m:r>
            <m:rPr>
              <m:sty m:val="p"/>
            </m:rPr>
            <m:t>.</m:t>
          </m:r>
        </m:oMath>
      </m:oMathPara>
    </w:p>
    <w:p>
      <w:pPr>
        <w:pStyle w:val="FirstParagraph"/>
      </w:pPr>
      <w:r>
        <w:t xml:space="preserve">The omnibus test is at</w:t>
      </w:r>
      <w:r>
        <w:t xml:space="preserve"> </w:t>
      </w:r>
      <m:oMath>
        <m:r>
          <m:t>α</m:t>
        </m:r>
        <m:r>
          <m:rPr>
            <m:sty m:val="p"/>
          </m:rPr>
          <m:t>=</m:t>
        </m:r>
        <m:r>
          <m:t>0.05</m:t>
        </m:r>
      </m:oMath>
      <w:r>
        <w:t xml:space="preserve">. Post-hoc pairwise contrasts apply Tukey’s Honest Significant Difference (HSD) when model assumptions hold; otherwise a country-bootstrap procedure resamples countries rather than rows. Regional results reflect country-year service-access patterns, not individual household conditions.</w:t>
      </w:r>
    </w:p>
    <w:bookmarkEnd w:id="51"/>
    <w:bookmarkStart w:id="52" w:name="rq4-one-year-ahead-classification"/>
    <w:p>
      <w:pPr>
        <w:pStyle w:val="Heading2"/>
      </w:pPr>
      <w:r>
        <w:t xml:space="preserve">RQ4: One-Year-Ahead Classification</w:t>
      </w:r>
    </w:p>
    <w:p>
      <w:pPr>
        <w:pStyle w:val="FirstParagraph"/>
      </w:pPr>
      <w:r>
        <w:t xml:space="preserve">The binary target is</w:t>
      </w:r>
      <w:r>
        <w:t xml:space="preserve"> </w:t>
      </w:r>
      <m:oMath>
        <m:sSub>
          <m:e>
            <m:r>
              <m:t>Y</m:t>
            </m:r>
          </m:e>
          <m:sub>
            <m:r>
              <m:t>c</m:t>
            </m:r>
            <m:r>
              <m:rPr>
                <m:sty m:val="p"/>
              </m:rPr>
              <m:t>,</m:t>
            </m:r>
            <m:r>
              <m:t>t</m:t>
            </m:r>
            <m:r>
              <m:rPr>
                <m:sty m:val="p"/>
              </m:rPr>
              <m:t>+</m:t>
            </m:r>
            <m:r>
              <m:t>1</m:t>
            </m:r>
          </m:sub>
        </m:sSub>
        <m:r>
          <m:rPr>
            <m:sty m:val="p"/>
          </m:rPr>
          <m:t>=</m:t>
        </m:r>
        <m:r>
          <m:t>I</m:t>
        </m:r>
        <m:d>
          <m:dPr>
            <m:begChr m:val="("/>
            <m:endChr m:val=")"/>
            <m:sepChr m:val=""/>
            <m:grow/>
          </m:dPr>
          <m:e>
            <m:sSub>
              <m:e>
                <m:r>
                  <m:t>D</m:t>
                </m:r>
              </m:e>
              <m:sub>
                <m:r>
                  <m:t>c</m:t>
                </m:r>
                <m:r>
                  <m:rPr>
                    <m:sty m:val="p"/>
                  </m:rPr>
                  <m:t>,</m:t>
                </m:r>
                <m:r>
                  <m:t>t</m:t>
                </m:r>
                <m:r>
                  <m:rPr>
                    <m:sty m:val="p"/>
                  </m:rPr>
                  <m:t>+</m:t>
                </m:r>
                <m:r>
                  <m:t>1</m:t>
                </m:r>
              </m:sub>
            </m:sSub>
            <m:r>
              <m:rPr>
                <m:sty m:val="p"/>
              </m:rPr>
              <m:t>≥</m:t>
            </m:r>
            <m:sSub>
              <m:e>
                <m:r>
                  <m:t>τ</m:t>
                </m:r>
              </m:e>
              <m:sub>
                <m:r>
                  <m:t>t</m:t>
                </m:r>
                <m:r>
                  <m:t>r</m:t>
                </m:r>
                <m:r>
                  <m:t>a</m:t>
                </m:r>
                <m:r>
                  <m:t>i</m:t>
                </m:r>
                <m:r>
                  <m:t>n</m:t>
                </m:r>
              </m:sub>
            </m:sSub>
          </m:e>
        </m:d>
      </m:oMath>
      <w:r>
        <w:t xml:space="preserve">, where</w:t>
      </w:r>
      <w:r>
        <w:t xml:space="preserve"> </w:t>
      </w:r>
      <m:oMath>
        <m:sSub>
          <m:e>
            <m:r>
              <m:t>τ</m:t>
            </m:r>
          </m:e>
          <m:sub>
            <m:r>
              <m:t>t</m:t>
            </m:r>
            <m:r>
              <m:t>r</m:t>
            </m:r>
            <m:r>
              <m:t>a</m:t>
            </m:r>
            <m:r>
              <m:t>i</m:t>
            </m:r>
            <m:r>
              <m:t>n</m:t>
            </m:r>
          </m:sub>
        </m:sSub>
      </m:oMath>
      <w:r>
        <w:t xml:space="preserve"> </w:t>
      </w:r>
      <w:r>
        <w:t xml:space="preserve">is the training-fold median. Predictors are from year</w:t>
      </w:r>
      <w:r>
        <w:t xml:space="preserve"> </w:t>
      </w:r>
      <m:oMath>
        <m:r>
          <m:t>t</m:t>
        </m:r>
      </m:oMath>
      <w:r>
        <w:t xml:space="preserve"> </w:t>
      </w:r>
      <w:r>
        <w:t xml:space="preserve">only, excluding same-year target components to prevent leakage. Models: majority-class baseline, logistic regression, random forest, and gradient boosting. Primary validation is chronological; a country-blocked sensitivity analysis additionally holds out entire countries.</w:t>
      </w:r>
    </w:p>
    <w:p>
      <w:pPr>
        <w:pStyle w:val="BodyText"/>
      </w:pPr>
      <w:r>
        <w:t xml:space="preserve">At the planning minimum</w:t>
      </w:r>
      <w:r>
        <w:t xml:space="preserve"> </w:t>
      </w:r>
      <m:oMath>
        <m:r>
          <m:t>N</m:t>
        </m:r>
        <m:r>
          <m:rPr>
            <m:sty m:val="p"/>
          </m:rPr>
          <m:t>=</m:t>
        </m:r>
        <m:r>
          <m:t>175</m:t>
        </m:r>
      </m:oMath>
      <w:r>
        <w:t xml:space="preserve"> </w:t>
      </w:r>
      <w:r>
        <w:t xml:space="preserve">with 50% class balance, each class has approximately 87.5 observations and EPV</w:t>
      </w:r>
      <w:r>
        <w:t xml:space="preserve"> </w:t>
      </w:r>
      <m:oMath>
        <m:r>
          <m:rPr>
            <m:sty m:val="p"/>
          </m:rPr>
          <m:t>=</m:t>
        </m:r>
        <m:r>
          <m:t>87.5</m:t>
        </m:r>
        <m:r>
          <m:rPr>
            <m:sty m:val="p"/>
          </m:rPr>
          <m:t>/</m:t>
        </m:r>
        <m:r>
          <m:t>4</m:t>
        </m:r>
        <m:r>
          <m:rPr>
            <m:sty m:val="p"/>
          </m:rPr>
          <m:t>=</m:t>
        </m:r>
        <m:r>
          <m:t>21.9</m:t>
        </m:r>
      </m:oMath>
      <w:r>
        <w:t xml:space="preserve">, exceeding the conventional 10-per-variable threshold. Evaluation metrics and formulae:</w:t>
      </w:r>
    </w:p>
    <w:p>
      <w:pPr>
        <w:numPr>
          <w:ilvl w:val="0"/>
          <w:numId w:val="1006"/>
        </w:numPr>
        <w:pStyle w:val="Compact"/>
      </w:pPr>
      <w:r>
        <w:rPr>
          <w:bCs/>
          <w:b/>
        </w:rPr>
        <w:t xml:space="preserve">Accuracy:</w:t>
      </w:r>
      <w:r>
        <w:t xml:space="preserve"> </w:t>
      </w:r>
      <m:oMath>
        <m:d>
          <m:dPr>
            <m:begChr m:val="("/>
            <m:endChr m:val=")"/>
            <m:sepChr m:val=""/>
            <m:grow/>
          </m:dPr>
          <m:e>
            <m:r>
              <m:t>T</m:t>
            </m:r>
            <m:r>
              <m:t>P</m:t>
            </m:r>
            <m:r>
              <m:rPr>
                <m:sty m:val="p"/>
              </m:rPr>
              <m:t>+</m:t>
            </m:r>
            <m:r>
              <m:t>T</m:t>
            </m:r>
            <m:r>
              <m:t>N</m:t>
            </m:r>
          </m:e>
        </m:d>
        <m:r>
          <m:rPr>
            <m:sty m:val="p"/>
          </m:rPr>
          <m:t>/</m:t>
        </m:r>
        <m:d>
          <m:dPr>
            <m:begChr m:val="("/>
            <m:endChr m:val=")"/>
            <m:sepChr m:val=""/>
            <m:grow/>
          </m:dPr>
          <m:e>
            <m:r>
              <m:t>T</m:t>
            </m:r>
            <m:r>
              <m:t>P</m:t>
            </m:r>
            <m:r>
              <m:rPr>
                <m:sty m:val="p"/>
              </m:rPr>
              <m:t>+</m:t>
            </m:r>
            <m:r>
              <m:t>T</m:t>
            </m:r>
            <m:r>
              <m:t>N</m:t>
            </m:r>
            <m:r>
              <m:rPr>
                <m:sty m:val="p"/>
              </m:rPr>
              <m:t>+</m:t>
            </m:r>
            <m:r>
              <m:t>F</m:t>
            </m:r>
            <m:r>
              <m:t>P</m:t>
            </m:r>
            <m:r>
              <m:rPr>
                <m:sty m:val="p"/>
              </m:rPr>
              <m:t>+</m:t>
            </m:r>
            <m:r>
              <m:t>F</m:t>
            </m:r>
            <m:r>
              <m:t>N</m:t>
            </m:r>
          </m:e>
        </m:d>
      </m:oMath>
    </w:p>
    <w:p>
      <w:pPr>
        <w:numPr>
          <w:ilvl w:val="0"/>
          <w:numId w:val="1006"/>
        </w:numPr>
        <w:pStyle w:val="Compact"/>
      </w:pPr>
      <w:r>
        <w:rPr>
          <w:bCs/>
          <w:b/>
        </w:rPr>
        <w:t xml:space="preserve">Precision:</w:t>
      </w:r>
      <w:r>
        <w:t xml:space="preserve"> </w:t>
      </w:r>
      <m:oMath>
        <m:r>
          <m:t>T</m:t>
        </m:r>
        <m:r>
          <m:t>P</m:t>
        </m:r>
        <m:r>
          <m:rPr>
            <m:sty m:val="p"/>
          </m:rPr>
          <m:t>/</m:t>
        </m:r>
        <m:d>
          <m:dPr>
            <m:begChr m:val="("/>
            <m:endChr m:val=")"/>
            <m:sepChr m:val=""/>
            <m:grow/>
          </m:dPr>
          <m:e>
            <m:r>
              <m:t>T</m:t>
            </m:r>
            <m:r>
              <m:t>P</m:t>
            </m:r>
            <m:r>
              <m:rPr>
                <m:sty m:val="p"/>
              </m:rPr>
              <m:t>+</m:t>
            </m:r>
            <m:r>
              <m:t>F</m:t>
            </m:r>
            <m:r>
              <m:t>P</m:t>
            </m:r>
          </m:e>
        </m:d>
      </m:oMath>
    </w:p>
    <w:p>
      <w:pPr>
        <w:numPr>
          <w:ilvl w:val="0"/>
          <w:numId w:val="1006"/>
        </w:numPr>
        <w:pStyle w:val="Compact"/>
      </w:pPr>
      <w:r>
        <w:rPr>
          <w:bCs/>
          <w:b/>
        </w:rPr>
        <w:t xml:space="preserve">Recall (Sensitivity):</w:t>
      </w:r>
      <w:r>
        <w:t xml:space="preserve"> </w:t>
      </w:r>
      <m:oMath>
        <m:r>
          <m:t>T</m:t>
        </m:r>
        <m:r>
          <m:t>P</m:t>
        </m:r>
        <m:r>
          <m:rPr>
            <m:sty m:val="p"/>
          </m:rPr>
          <m:t>/</m:t>
        </m:r>
        <m:d>
          <m:dPr>
            <m:begChr m:val="("/>
            <m:endChr m:val=")"/>
            <m:sepChr m:val=""/>
            <m:grow/>
          </m:dPr>
          <m:e>
            <m:r>
              <m:t>T</m:t>
            </m:r>
            <m:r>
              <m:t>P</m:t>
            </m:r>
            <m:r>
              <m:rPr>
                <m:sty m:val="p"/>
              </m:rPr>
              <m:t>+</m:t>
            </m:r>
            <m:r>
              <m:t>F</m:t>
            </m:r>
            <m:r>
              <m:t>N</m:t>
            </m:r>
          </m:e>
        </m:d>
      </m:oMath>
    </w:p>
    <w:p>
      <w:pPr>
        <w:numPr>
          <w:ilvl w:val="0"/>
          <w:numId w:val="1006"/>
        </w:numPr>
        <w:pStyle w:val="Compact"/>
      </w:pPr>
      <w:r>
        <w:rPr>
          <w:bCs/>
          <w:b/>
        </w:rPr>
        <w:t xml:space="preserve">Specificity:</w:t>
      </w:r>
      <w:r>
        <w:t xml:space="preserve"> </w:t>
      </w:r>
      <m:oMath>
        <m:r>
          <m:t>T</m:t>
        </m:r>
        <m:r>
          <m:t>N</m:t>
        </m:r>
        <m:r>
          <m:rPr>
            <m:sty m:val="p"/>
          </m:rPr>
          <m:t>/</m:t>
        </m:r>
        <m:d>
          <m:dPr>
            <m:begChr m:val="("/>
            <m:endChr m:val=")"/>
            <m:sepChr m:val=""/>
            <m:grow/>
          </m:dPr>
          <m:e>
            <m:r>
              <m:t>T</m:t>
            </m:r>
            <m:r>
              <m:t>N</m:t>
            </m:r>
            <m:r>
              <m:rPr>
                <m:sty m:val="p"/>
              </m:rPr>
              <m:t>+</m:t>
            </m:r>
            <m:r>
              <m:t>F</m:t>
            </m:r>
            <m:r>
              <m:t>P</m:t>
            </m:r>
          </m:e>
        </m:d>
      </m:oMath>
    </w:p>
    <w:p>
      <w:pPr>
        <w:numPr>
          <w:ilvl w:val="0"/>
          <w:numId w:val="1006"/>
        </w:numPr>
        <w:pStyle w:val="Compact"/>
      </w:pPr>
      <w:r>
        <w:rPr>
          <w:bCs/>
          <w:b/>
        </w:rPr>
        <w:t xml:space="preserve">F1 score:</w:t>
      </w:r>
      <w:r>
        <w:t xml:space="preserve"> </w:t>
      </w:r>
      <m:oMath>
        <m:r>
          <m:t>2</m:t>
        </m:r>
        <m:r>
          <m:rPr>
            <m:sty m:val="p"/>
          </m:rPr>
          <m:t>×</m:t>
        </m:r>
        <m:r>
          <m:t>P</m:t>
        </m:r>
        <m:r>
          <m:t>r</m:t>
        </m:r>
        <m:r>
          <m:t>e</m:t>
        </m:r>
        <m:r>
          <m:t>c</m:t>
        </m:r>
        <m:r>
          <m:t>i</m:t>
        </m:r>
        <m:r>
          <m:t>s</m:t>
        </m:r>
        <m:r>
          <m:t>i</m:t>
        </m:r>
        <m:r>
          <m:t>o</m:t>
        </m:r>
        <m:r>
          <m:t>n</m:t>
        </m:r>
        <m:r>
          <m:rPr>
            <m:sty m:val="p"/>
          </m:rPr>
          <m:t>×</m:t>
        </m:r>
        <m:r>
          <m:t>R</m:t>
        </m:r>
        <m:r>
          <m:t>e</m:t>
        </m:r>
        <m:r>
          <m:t>c</m:t>
        </m:r>
        <m:r>
          <m:t>a</m:t>
        </m:r>
        <m:r>
          <m:t>l</m:t>
        </m:r>
        <m:r>
          <m:t>l</m:t>
        </m:r>
        <m:r>
          <m:t> </m:t>
        </m:r>
        <m:r>
          <m:rPr>
            <m:sty m:val="p"/>
          </m:rPr>
          <m:t>/</m:t>
        </m:r>
        <m:r>
          <m:t> </m:t>
        </m:r>
        <m:d>
          <m:dPr>
            <m:begChr m:val="("/>
            <m:endChr m:val=")"/>
            <m:sepChr m:val=""/>
            <m:grow/>
          </m:dPr>
          <m:e>
            <m:r>
              <m:t>P</m:t>
            </m:r>
            <m:r>
              <m:t>r</m:t>
            </m:r>
            <m:r>
              <m:t>e</m:t>
            </m:r>
            <m:r>
              <m:t>c</m:t>
            </m:r>
            <m:r>
              <m:t>i</m:t>
            </m:r>
            <m:r>
              <m:t>s</m:t>
            </m:r>
            <m:r>
              <m:t>i</m:t>
            </m:r>
            <m:r>
              <m:t>o</m:t>
            </m:r>
            <m:r>
              <m:t>n</m:t>
            </m:r>
            <m:r>
              <m:rPr>
                <m:sty m:val="p"/>
              </m:rPr>
              <m:t>+</m:t>
            </m:r>
            <m:r>
              <m:t>R</m:t>
            </m:r>
            <m:r>
              <m:t>e</m:t>
            </m:r>
            <m:r>
              <m:t>c</m:t>
            </m:r>
            <m:r>
              <m:t>a</m:t>
            </m:r>
            <m:r>
              <m:t>l</m:t>
            </m:r>
            <m:r>
              <m:t>l</m:t>
            </m:r>
          </m:e>
        </m:d>
      </m:oMath>
    </w:p>
    <w:p>
      <w:pPr>
        <w:numPr>
          <w:ilvl w:val="0"/>
          <w:numId w:val="1006"/>
        </w:numPr>
        <w:pStyle w:val="Compact"/>
      </w:pPr>
      <w:r>
        <w:rPr>
          <w:bCs/>
          <w:b/>
        </w:rPr>
        <w:t xml:space="preserve">Balanced accuracy (BA):</w:t>
      </w:r>
      <w:r>
        <w:t xml:space="preserve"> </w:t>
      </w:r>
      <m:oMath>
        <m:d>
          <m:dPr>
            <m:begChr m:val="("/>
            <m:endChr m:val=")"/>
            <m:sepChr m:val=""/>
            <m:grow/>
          </m:dPr>
          <m:e>
            <m:r>
              <m:t>S</m:t>
            </m:r>
            <m:r>
              <m:t>e</m:t>
            </m:r>
            <m:r>
              <m:t>n</m:t>
            </m:r>
            <m:r>
              <m:t>s</m:t>
            </m:r>
            <m:r>
              <m:t>i</m:t>
            </m:r>
            <m:r>
              <m:t>t</m:t>
            </m:r>
            <m:r>
              <m:t>i</m:t>
            </m:r>
            <m:r>
              <m:t>v</m:t>
            </m:r>
            <m:r>
              <m:t>i</m:t>
            </m:r>
            <m:r>
              <m:t>t</m:t>
            </m:r>
            <m:r>
              <m:t>y</m:t>
            </m:r>
            <m:r>
              <m:rPr>
                <m:sty m:val="p"/>
              </m:rPr>
              <m:t>+</m:t>
            </m:r>
            <m:r>
              <m:t>S</m:t>
            </m:r>
            <m:r>
              <m:t>p</m:t>
            </m:r>
            <m:r>
              <m:t>e</m:t>
            </m:r>
            <m:r>
              <m:t>c</m:t>
            </m:r>
            <m:r>
              <m:t>i</m:t>
            </m:r>
            <m:r>
              <m:t>f</m:t>
            </m:r>
            <m:r>
              <m:t>i</m:t>
            </m:r>
            <m:r>
              <m:t>c</m:t>
            </m:r>
            <m:r>
              <m:t>i</m:t>
            </m:r>
            <m:r>
              <m:t>t</m:t>
            </m:r>
            <m:r>
              <m:t>y</m:t>
            </m:r>
          </m:e>
        </m:d>
        <m:r>
          <m:rPr>
            <m:sty m:val="p"/>
          </m:rPr>
          <m:t>/</m:t>
        </m:r>
        <m:r>
          <m:t>2</m:t>
        </m:r>
      </m:oMath>
    </w:p>
    <w:p>
      <w:pPr>
        <w:numPr>
          <w:ilvl w:val="0"/>
          <w:numId w:val="1006"/>
        </w:numPr>
        <w:pStyle w:val="Compact"/>
      </w:pPr>
      <w:r>
        <w:rPr>
          <w:bCs/>
          <w:b/>
        </w:rPr>
        <w:t xml:space="preserve">ROC-AUC:</w:t>
      </w:r>
      <w:r>
        <w:t xml:space="preserve"> </w:t>
      </w:r>
      <w:r>
        <w:t xml:space="preserve">Probability that a randomly drawn positive case scores above a randomly drawn negative case.</w:t>
      </w:r>
    </w:p>
    <w:p>
      <w:pPr>
        <w:numPr>
          <w:ilvl w:val="0"/>
          <w:numId w:val="1006"/>
        </w:numPr>
        <w:pStyle w:val="Compact"/>
      </w:pPr>
      <w:r>
        <w:rPr>
          <w:bCs/>
          <w:b/>
        </w:rPr>
        <w:t xml:space="preserve">PR-AUC:</w:t>
      </w:r>
      <w:r>
        <w:t xml:space="preserve"> </w:t>
      </w:r>
      <w:r>
        <w:t xml:space="preserve">Area under the precision-recall curve; emphasized when class balance may shift.</w:t>
      </w:r>
    </w:p>
    <w:p>
      <w:pPr>
        <w:numPr>
          <w:ilvl w:val="0"/>
          <w:numId w:val="1006"/>
        </w:numPr>
        <w:pStyle w:val="Compact"/>
      </w:pPr>
      <w:r>
        <w:rPr>
          <w:bCs/>
          <w:b/>
        </w:rPr>
        <w:t xml:space="preserve">Brier score:</w:t>
      </w:r>
      <w:r>
        <w:t xml:space="preserve"> </w:t>
      </w:r>
      <m:oMath>
        <m:d>
          <m:dPr>
            <m:begChr m:val="("/>
            <m:endChr m:val=")"/>
            <m:sepChr m:val=""/>
            <m:grow/>
          </m:dPr>
          <m:e>
            <m:r>
              <m:t>1</m:t>
            </m:r>
            <m:r>
              <m:rPr>
                <m:sty m:val="p"/>
              </m:rPr>
              <m:t>/</m:t>
            </m:r>
            <m:r>
              <m:t>n</m:t>
            </m:r>
          </m:e>
        </m:d>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w:r>
        <w:t xml:space="preserve">; lower values indicate better calibration.</w:t>
      </w:r>
    </w:p>
    <w:p>
      <w:pPr>
        <w:pStyle w:val="FirstParagraph"/>
      </w:pPr>
      <w:r>
        <w:t xml:space="preserve">A model is considered practically useful only if it improves BA and PR-AUC over the majority baseline with stable chronological performance. Any future operational deployment requires quarterly drift checks, annual recalibration, a documented human override and appeal path, and governance approval.</w:t>
      </w:r>
    </w:p>
    <w:bookmarkEnd w:id="52"/>
    <w:bookmarkEnd w:id="53"/>
    <w:bookmarkStart w:id="54" w:name="recommendation-and-application"/>
    <w:p>
      <w:pPr>
        <w:pStyle w:val="Heading1"/>
      </w:pPr>
      <w:r>
        <w:t xml:space="preserve">Recommendation and Application</w:t>
      </w:r>
    </w:p>
    <w:p>
      <w:pPr>
        <w:pStyle w:val="FirstParagraph"/>
      </w:pPr>
      <w:r>
        <w:t xml:space="preserve">The primary users are development-planning analysts, housing and urban-development ministries, water and sanitation programs, electricity-access agencies, regional development banks, and comparative researchers. The recommended application is a two-stage process: first, use the reproducible panel and model outputs to screen for persistent or emerging high deprivation; second, validate any flagged country with current household surveys, administrative records, and local consultations before any policy or funding decision. Results must not be used to rank individual households, deny services, assign blame to a country, or infer individual living conditions from national averages. If RQ4 produces stable predictive performance, a monitored screening dashboard warrants further investigation; if performance is unstable, the negative result is itself useful evidence that public WDI indicators alone are insufficient for early warning without richer local data.</w:t>
      </w:r>
    </w:p>
    <w:bookmarkEnd w:id="54"/>
    <w:bookmarkStart w:id="55" w:name="limitations-and-ethical-boundaries"/>
    <w:p>
      <w:pPr>
        <w:pStyle w:val="Heading1"/>
      </w:pPr>
      <w:r>
        <w:t xml:space="preserve">Limitations and Ethical Boundaries</w:t>
      </w:r>
    </w:p>
    <w:p>
      <w:pPr>
        <w:pStyle w:val="FirstParagraph"/>
      </w:pPr>
      <w:r>
        <w:t xml:space="preserve">The principal limitations are: (1) ecological inference—country-year averages cannot establish household relationships; (2) index measurement—the target excludes housing quality, affordability, tenure security, and service reliability; (3) comparability—countries differ in statistical capacity and WDI revision histories; (4) dependence—53 countries’ repeated observations make the effective sample far smaller than the row count; and (5) prediction scope—models trained on historical public data may fail under shocks, policy reversals, or measurement revisions. The project mitigates these risks through documented missingness, country-aware uncertainty, chronological validation, and clear separation of exploratory from confirmatory claims. No personal data are used, no individual eligibility is determined, and all outputs are labeled as planning tools requiring human review (Chiwarawara, 2024; Marutlulle, 2021; Zimmerman et al., 2022).</w:t>
      </w:r>
    </w:p>
    <w:bookmarkEnd w:id="55"/>
    <w:bookmarkStart w:id="56" w:name="references"/>
    <w:p>
      <w:pPr>
        <w:pStyle w:val="Heading1"/>
      </w:pPr>
      <w:r>
        <w:t xml:space="preserve">References</w:t>
      </w:r>
    </w:p>
    <w:p>
      <w:pPr>
        <w:pStyle w:val="FirstParagraph"/>
      </w:pPr>
      <w:r>
        <w:t xml:space="preserve">Agbodji, A. E., Batana, Y. M., &amp; Ouédraogo, D. (2015). Gender inequality in multidimensional welfare deprivation in West Africa: The case of Burkina Faso and Togo.</w:t>
      </w:r>
      <w:r>
        <w:t xml:space="preserve"> </w:t>
      </w:r>
      <w:r>
        <w:rPr>
          <w:iCs/>
          <w:i/>
        </w:rPr>
        <w:t xml:space="preserve">International Journal of Social Economics, 42</w:t>
      </w:r>
      <w:r>
        <w:t xml:space="preserve">(11), 980–1004. https://doi.org/10.1108/IJSE-11-2013-0270</w:t>
      </w:r>
    </w:p>
    <w:p>
      <w:pPr>
        <w:pStyle w:val="BodyText"/>
      </w:pPr>
      <w:r>
        <w:t xml:space="preserve">Bouzarovski, S., &amp; Petrova, S. (2015). A global perspective on domestic energy deprivation: Overcoming the energy poverty-fuel poverty binary.</w:t>
      </w:r>
      <w:r>
        <w:t xml:space="preserve"> </w:t>
      </w:r>
      <w:r>
        <w:rPr>
          <w:iCs/>
          <w:i/>
        </w:rPr>
        <w:t xml:space="preserve">Energy Research &amp; Social Science, 10</w:t>
      </w:r>
      <w:r>
        <w:t xml:space="preserve">, 31–40. https://doi.org/10.1016/j.erss.2015.06.007</w:t>
      </w:r>
    </w:p>
    <w:p>
      <w:pPr>
        <w:pStyle w:val="BodyText"/>
      </w:pPr>
      <w:r>
        <w:t xml:space="preserve">Chiwarawara, K. (2024). The struggle for housing and basic services in South Africa: A case for service delivery protests.</w:t>
      </w:r>
      <w:r>
        <w:t xml:space="preserve"> </w:t>
      </w:r>
      <w:r>
        <w:rPr>
          <w:iCs/>
          <w:i/>
        </w:rPr>
        <w:t xml:space="preserve">Social Dynamics, 50</w:t>
      </w:r>
      <w:r>
        <w:t xml:space="preserve">(2), 148–165. https://doi.org/10.1080/02533952.2024.2352193</w:t>
      </w:r>
    </w:p>
    <w:p>
      <w:pPr>
        <w:pStyle w:val="BodyText"/>
      </w:pPr>
      <w:r>
        <w:t xml:space="preserve">de Milliano, M., &amp; Plavgo, I. (2018). Analysing multidimensional child poverty in sub-Saharan Africa.</w:t>
      </w:r>
      <w:r>
        <w:t xml:space="preserve"> </w:t>
      </w:r>
      <w:r>
        <w:rPr>
          <w:iCs/>
          <w:i/>
        </w:rPr>
        <w:t xml:space="preserve">Child Indicators Research, 11</w:t>
      </w:r>
      <w:r>
        <w:t xml:space="preserve">, 923–945. https://doi.org/10.1007/s12187-017-9488-1</w:t>
      </w:r>
    </w:p>
    <w:p>
      <w:pPr>
        <w:pStyle w:val="BodyText"/>
      </w:pPr>
      <w:r>
        <w:t xml:space="preserve">Gelman, A., &amp; Hill, J. (2007).</w:t>
      </w:r>
      <w:r>
        <w:t xml:space="preserve"> </w:t>
      </w:r>
      <w:r>
        <w:rPr>
          <w:iCs/>
          <w:i/>
        </w:rPr>
        <w:t xml:space="preserve">Data analysis using regression and multilevel/hierarchical models</w:t>
      </w:r>
      <w:r>
        <w:t xml:space="preserve">. Cambridge University Press.</w:t>
      </w:r>
    </w:p>
    <w:p>
      <w:pPr>
        <w:pStyle w:val="BodyText"/>
      </w:pPr>
      <w:r>
        <w:t xml:space="preserve">Gradín, C. (2013). Race, poverty and deprivation in South Africa.</w:t>
      </w:r>
      <w:r>
        <w:t xml:space="preserve"> </w:t>
      </w:r>
      <w:r>
        <w:rPr>
          <w:iCs/>
          <w:i/>
        </w:rPr>
        <w:t xml:space="preserve">Journal of African Economies, 22</w:t>
      </w:r>
      <w:r>
        <w:t xml:space="preserve">(2), 187–238. https://doi.org/10.1093/jae/ejs019</w:t>
      </w:r>
    </w:p>
    <w:p>
      <w:pPr>
        <w:pStyle w:val="BodyText"/>
      </w:pPr>
      <w:r>
        <w:t xml:space="preserve">Kamndaya, M., Thomas, L., Vearey, J., Kabiru, C. W., &amp; Kazembe, L. (2014). Material deprivation affects high sexual risk behavior among young people in urban slums, South Africa.</w:t>
      </w:r>
      <w:r>
        <w:t xml:space="preserve"> </w:t>
      </w:r>
      <w:r>
        <w:rPr>
          <w:iCs/>
          <w:i/>
        </w:rPr>
        <w:t xml:space="preserve">Journal of Urban Health, 91</w:t>
      </w:r>
      <w:r>
        <w:t xml:space="preserve">, 581–594. https://doi.org/10.1007/s11524-013-9856-1</w:t>
      </w:r>
    </w:p>
    <w:p>
      <w:pPr>
        <w:pStyle w:val="BodyText"/>
      </w:pPr>
      <w:r>
        <w:t xml:space="preserve">Lin, B., &amp; Okyere, M. A. (2022). Race and energy poverty: The moderating role of subsidies in South Africa.</w:t>
      </w:r>
      <w:r>
        <w:t xml:space="preserve"> </w:t>
      </w:r>
      <w:r>
        <w:rPr>
          <w:iCs/>
          <w:i/>
        </w:rPr>
        <w:t xml:space="preserve">Energy Economics, 110</w:t>
      </w:r>
      <w:r>
        <w:t xml:space="preserve">, 106464. https://doi.org/10.1016/j.eneco.2022.106464</w:t>
      </w:r>
    </w:p>
    <w:p>
      <w:pPr>
        <w:pStyle w:val="BodyText"/>
      </w:pPr>
      <w:r>
        <w:t xml:space="preserve">Marutlulle, N. K. (2021). A critical analysis of housing inadequacy in South Africa and its ramifications.</w:t>
      </w:r>
      <w:r>
        <w:t xml:space="preserve"> </w:t>
      </w:r>
      <w:r>
        <w:rPr>
          <w:iCs/>
          <w:i/>
        </w:rPr>
        <w:t xml:space="preserve">Africa’s Public Service Delivery &amp; Performance Review, 9</w:t>
      </w:r>
      <w:r>
        <w:t xml:space="preserve">(1), a372. https://doi.org/10.4102/apsdpr.v9i1.372</w:t>
      </w:r>
    </w:p>
    <w:p>
      <w:pPr>
        <w:pStyle w:val="BodyText"/>
      </w:pPr>
      <w:r>
        <w:t xml:space="preserve">World Bank. (2026).</w:t>
      </w:r>
      <w:r>
        <w:t xml:space="preserve"> </w:t>
      </w:r>
      <w:r>
        <w:rPr>
          <w:iCs/>
          <w:i/>
        </w:rPr>
        <w:t xml:space="preserve">World Development Indicators</w:t>
      </w:r>
      <w:r>
        <w:t xml:space="preserve">. https://data.worldbank.org/</w:t>
      </w:r>
    </w:p>
    <w:p>
      <w:pPr>
        <w:pStyle w:val="BodyText"/>
      </w:pPr>
      <w:r>
        <w:t xml:space="preserve">Yeh, C., Perez, A., Driscoll, A., Athey, S., Bailard, C., Blumenstock, J. E., &amp; Burke, M. (2020). Using publicly available satellite imagery and deep learning to understand economic well-being in Africa.</w:t>
      </w:r>
      <w:r>
        <w:t xml:space="preserve"> </w:t>
      </w:r>
      <w:r>
        <w:rPr>
          <w:iCs/>
          <w:i/>
        </w:rPr>
        <w:t xml:space="preserve">Nature Communications, 11</w:t>
      </w:r>
      <w:r>
        <w:t xml:space="preserve">, 2583. https://doi.org/10.1038/s41467-020-16185-w</w:t>
      </w:r>
    </w:p>
    <w:p>
      <w:pPr>
        <w:pStyle w:val="BodyText"/>
      </w:pPr>
      <w:r>
        <w:t xml:space="preserve">Zimmerman, A., Lund, C., Araya, R., Hessel, P., Sanchez, J., Garman, E., Evans-Lacko, S., Diaz, Y., &amp; Avendano-Pabon, M. (2022). The relationship between multidimensional poverty, income poverty and youth depressive symptoms: Cross-sectional evidence from Mexico, South Africa and Colombia.</w:t>
      </w:r>
      <w:r>
        <w:t xml:space="preserve"> </w:t>
      </w:r>
      <w:r>
        <w:rPr>
          <w:iCs/>
          <w:i/>
        </w:rPr>
        <w:t xml:space="preserve">BMJ Global Health, 7</w:t>
      </w:r>
      <w:r>
        <w:t xml:space="preserve">(1), e006960. https://doi.org/10.1136/bmjgh-2021-006960</w:t>
      </w:r>
    </w:p>
    <w:bookmarkEnd w:id="56"/>
    <w:bookmarkStart w:id="57" w:name="appendix-a-complete-data-dictionary"/>
    <w:p>
      <w:pPr>
        <w:pStyle w:val="Heading1"/>
      </w:pPr>
      <w:r>
        <w:t xml:space="preserve">Appendix A: Complete Data Dictionary</w:t>
      </w:r>
    </w:p>
    <w:p>
      <w:pPr>
        <w:pStyle w:val="FirstParagraph"/>
      </w:pPr>
      <w:r>
        <w:t xml:space="preserve">This table is referenced in the Data Description section. It is reproduced here in full so the submission is self-contained without requiring access to the CSV file.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left"/>
            </w:pPr>
            <w:r>
              <w:t xml:space="preserve">Source/code</w:t>
            </w:r>
          </w:p>
        </w:tc>
        <w:tc>
          <w:tcPr/>
          <w:p>
            <w:pPr>
              <w:pStyle w:val="Compact"/>
              <w:jc w:val="left"/>
            </w:pPr>
            <w:r>
              <w:t xml:space="preserve">Unit/encoding</w:t>
            </w:r>
          </w:p>
        </w:tc>
        <w:tc>
          <w:tcPr/>
          <w:p>
            <w:pPr>
              <w:pStyle w:val="Compact"/>
              <w:jc w:val="left"/>
            </w:pPr>
            <w:r>
              <w:t xml:space="preserve">Role</w:t>
            </w:r>
          </w:p>
        </w:tc>
        <w:tc>
          <w:tcPr/>
          <w:p>
            <w:pPr>
              <w:pStyle w:val="Compact"/>
              <w:jc w:val="left"/>
            </w:pPr>
            <w:r>
              <w:t xml:space="preserve">Timing</w:t>
            </w:r>
          </w:p>
        </w:tc>
        <w:tc>
          <w:tcPr/>
          <w:p>
            <w:pPr>
              <w:pStyle w:val="Compact"/>
              <w:jc w:val="left"/>
            </w:pPr>
            <w:r>
              <w:t xml:space="preserve">Missing rule</w:t>
            </w:r>
          </w:p>
        </w:tc>
      </w:tr>
      <w:tr>
        <w:tc>
          <w:tcPr/>
          <w:p>
            <w:pPr>
              <w:pStyle w:val="Compact"/>
              <w:jc w:val="left"/>
            </w:pPr>
            <w:r>
              <w:rPr>
                <w:rStyle w:val="VerbatimChar"/>
              </w:rPr>
              <w:t xml:space="preserve">country_code</w:t>
            </w:r>
          </w:p>
        </w:tc>
        <w:tc>
          <w:tcPr/>
          <w:p>
            <w:pPr>
              <w:pStyle w:val="Compact"/>
              <w:jc w:val="left"/>
            </w:pPr>
            <w:r>
              <w:t xml:space="preserve">World Bank metadata</w:t>
            </w:r>
          </w:p>
        </w:tc>
        <w:tc>
          <w:tcPr/>
          <w:p>
            <w:pPr>
              <w:pStyle w:val="Compact"/>
              <w:jc w:val="left"/>
            </w:pPr>
            <w:r>
              <w:t xml:space="preserve">ISO-3 code</w:t>
            </w:r>
          </w:p>
        </w:tc>
        <w:tc>
          <w:tcPr/>
          <w:p>
            <w:pPr>
              <w:pStyle w:val="Compact"/>
              <w:jc w:val="left"/>
            </w:pPr>
            <w:r>
              <w:t xml:space="preserve">Identifier</w:t>
            </w:r>
          </w:p>
        </w:tc>
        <w:tc>
          <w:tcPr/>
          <w:p>
            <w:pPr>
              <w:pStyle w:val="Compact"/>
              <w:jc w:val="left"/>
            </w:pPr>
            <w:r>
              <w:t xml:space="preserve">Country-year</w:t>
            </w:r>
          </w:p>
        </w:tc>
        <w:tc>
          <w:tcPr/>
          <w:p>
            <w:pPr>
              <w:pStyle w:val="Compact"/>
              <w:jc w:val="left"/>
            </w:pPr>
            <w:r>
              <w:t xml:space="preserve">Required</w:t>
            </w:r>
          </w:p>
        </w:tc>
      </w:tr>
      <w:tr>
        <w:tc>
          <w:tcPr/>
          <w:p>
            <w:pPr>
              <w:pStyle w:val="Compact"/>
              <w:jc w:val="left"/>
            </w:pPr>
            <w:r>
              <w:rPr>
                <w:rStyle w:val="VerbatimChar"/>
              </w:rPr>
              <w:t xml:space="preserve">country_name</w:t>
            </w:r>
          </w:p>
        </w:tc>
        <w:tc>
          <w:tcPr/>
          <w:p>
            <w:pPr>
              <w:pStyle w:val="Compact"/>
              <w:jc w:val="left"/>
            </w:pPr>
            <w:r>
              <w:t xml:space="preserve">World Bank metadata</w:t>
            </w:r>
          </w:p>
        </w:tc>
        <w:tc>
          <w:tcPr/>
          <w:p>
            <w:pPr>
              <w:pStyle w:val="Compact"/>
              <w:jc w:val="left"/>
            </w:pPr>
            <w:r>
              <w:t xml:space="preserve">Text</w:t>
            </w:r>
          </w:p>
        </w:tc>
        <w:tc>
          <w:tcPr/>
          <w:p>
            <w:pPr>
              <w:pStyle w:val="Compact"/>
              <w:jc w:val="left"/>
            </w:pPr>
            <w:r>
              <w:t xml:space="preserve">Label</w:t>
            </w:r>
          </w:p>
        </w:tc>
        <w:tc>
          <w:tcPr/>
          <w:p>
            <w:pPr>
              <w:pStyle w:val="Compact"/>
              <w:jc w:val="left"/>
            </w:pPr>
            <w:r>
              <w:t xml:space="preserve">Country-year</w:t>
            </w:r>
          </w:p>
        </w:tc>
        <w:tc>
          <w:tcPr/>
          <w:p>
            <w:pPr>
              <w:pStyle w:val="Compact"/>
              <w:jc w:val="left"/>
            </w:pPr>
            <w:r>
              <w:t xml:space="preserve">Required</w:t>
            </w:r>
          </w:p>
        </w:tc>
      </w:tr>
      <w:tr>
        <w:tc>
          <w:tcPr/>
          <w:p>
            <w:pPr>
              <w:pStyle w:val="Compact"/>
              <w:jc w:val="left"/>
            </w:pPr>
            <w:r>
              <w:rPr>
                <w:rStyle w:val="VerbatimChar"/>
              </w:rPr>
              <w:t xml:space="preserve">year</w:t>
            </w:r>
          </w:p>
        </w:tc>
        <w:tc>
          <w:tcPr/>
          <w:p>
            <w:pPr>
              <w:pStyle w:val="Compact"/>
              <w:jc w:val="left"/>
            </w:pPr>
            <w:r>
              <w:t xml:space="preserve">API observation</w:t>
            </w:r>
          </w:p>
        </w:tc>
        <w:tc>
          <w:tcPr/>
          <w:p>
            <w:pPr>
              <w:pStyle w:val="Compact"/>
              <w:jc w:val="left"/>
            </w:pPr>
            <w:r>
              <w:t xml:space="preserve">Calendar year</w:t>
            </w:r>
          </w:p>
        </w:tc>
        <w:tc>
          <w:tcPr/>
          <w:p>
            <w:pPr>
              <w:pStyle w:val="Compact"/>
              <w:jc w:val="left"/>
            </w:pPr>
            <w:r>
              <w:t xml:space="preserve">Time index</w:t>
            </w:r>
          </w:p>
        </w:tc>
        <w:tc>
          <w:tcPr/>
          <w:p>
            <w:pPr>
              <w:pStyle w:val="Compact"/>
              <w:jc w:val="left"/>
            </w:pPr>
            <w:r>
              <w:t xml:space="preserve">2000–2024</w:t>
            </w:r>
          </w:p>
        </w:tc>
        <w:tc>
          <w:tcPr/>
          <w:p>
            <w:pPr>
              <w:pStyle w:val="Compact"/>
              <w:jc w:val="left"/>
            </w:pPr>
            <w:r>
              <w:t xml:space="preserve">Required</w:t>
            </w:r>
          </w:p>
        </w:tc>
      </w:tr>
      <w:tr>
        <w:tc>
          <w:tcPr/>
          <w:p>
            <w:pPr>
              <w:pStyle w:val="Compact"/>
              <w:jc w:val="left"/>
            </w:pPr>
            <w:r>
              <w:rPr>
                <w:rStyle w:val="VerbatimChar"/>
              </w:rPr>
              <w:t xml:space="preserve">water_access_pct</w:t>
            </w:r>
          </w:p>
        </w:tc>
        <w:tc>
          <w:tcPr/>
          <w:p>
            <w:pPr>
              <w:pStyle w:val="Compact"/>
              <w:jc w:val="left"/>
            </w:pPr>
            <w:r>
              <w:rPr>
                <w:rStyle w:val="VerbatimChar"/>
              </w:rPr>
              <w:t xml:space="preserve">SH.H2O.BASW.ZS</w:t>
            </w:r>
          </w:p>
        </w:tc>
        <w:tc>
          <w:tcPr/>
          <w:p>
            <w:pPr>
              <w:pStyle w:val="Compact"/>
              <w:jc w:val="left"/>
            </w:pPr>
            <w:r>
              <w:t xml:space="preserve">Percent,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sanitation_access_pct</w:t>
            </w:r>
          </w:p>
        </w:tc>
        <w:tc>
          <w:tcPr/>
          <w:p>
            <w:pPr>
              <w:pStyle w:val="Compact"/>
              <w:jc w:val="left"/>
            </w:pPr>
            <w:r>
              <w:rPr>
                <w:rStyle w:val="VerbatimChar"/>
              </w:rPr>
              <w:t xml:space="preserve">SH.STA.BASS.ZS</w:t>
            </w:r>
          </w:p>
        </w:tc>
        <w:tc>
          <w:tcPr/>
          <w:p>
            <w:pPr>
              <w:pStyle w:val="Compact"/>
              <w:jc w:val="left"/>
            </w:pPr>
            <w:r>
              <w:t xml:space="preserve">Percent,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electricity_access_pct</w:t>
            </w:r>
          </w:p>
        </w:tc>
        <w:tc>
          <w:tcPr/>
          <w:p>
            <w:pPr>
              <w:pStyle w:val="Compact"/>
              <w:jc w:val="left"/>
            </w:pPr>
            <w:r>
              <w:rPr>
                <w:rStyle w:val="VerbatimChar"/>
              </w:rPr>
              <w:t xml:space="preserve">EG.ELC.ACCS.ZS</w:t>
            </w:r>
          </w:p>
        </w:tc>
        <w:tc>
          <w:tcPr/>
          <w:p>
            <w:pPr>
              <w:pStyle w:val="Compact"/>
              <w:jc w:val="left"/>
            </w:pPr>
            <w:r>
              <w:t xml:space="preserve">Percent, 0–100</w:t>
            </w:r>
          </w:p>
        </w:tc>
        <w:tc>
          <w:tcPr/>
          <w:p>
            <w:pPr>
              <w:pStyle w:val="Compact"/>
              <w:jc w:val="left"/>
            </w:pPr>
            <w:r>
              <w:t xml:space="preserve">Target component</w:t>
            </w:r>
          </w:p>
        </w:tc>
        <w:tc>
          <w:tcPr/>
          <w:p>
            <w:pPr>
              <w:pStyle w:val="Compact"/>
              <w:jc w:val="left"/>
            </w:pPr>
            <w:r>
              <w:t xml:space="preserve">Same year</w:t>
            </w:r>
          </w:p>
        </w:tc>
        <w:tc>
          <w:tcPr/>
          <w:p>
            <w:pPr>
              <w:pStyle w:val="Compact"/>
              <w:jc w:val="left"/>
            </w:pPr>
            <w:r>
              <w:t xml:space="preserve">Required for target</w:t>
            </w:r>
          </w:p>
        </w:tc>
      </w:tr>
      <w:tr>
        <w:tc>
          <w:tcPr/>
          <w:p>
            <w:pPr>
              <w:pStyle w:val="Compact"/>
              <w:jc w:val="left"/>
            </w:pPr>
            <w:r>
              <w:rPr>
                <w:rStyle w:val="VerbatimChar"/>
              </w:rPr>
              <w:t xml:space="preserve">housing_service_deprivation_pct</w:t>
            </w:r>
          </w:p>
        </w:tc>
        <w:tc>
          <w:tcPr/>
          <w:p>
            <w:pPr>
              <w:pStyle w:val="Compact"/>
              <w:jc w:val="left"/>
            </w:pPr>
            <w:r>
              <w:t xml:space="preserve">Derived</w:t>
            </w:r>
          </w:p>
        </w:tc>
        <w:tc>
          <w:tcPr/>
          <w:p>
            <w:pPr>
              <w:pStyle w:val="Compact"/>
              <w:jc w:val="left"/>
            </w:pPr>
            <w:r>
              <w:t xml:space="preserve">Index pts, 0–100</w:t>
            </w:r>
          </w:p>
        </w:tc>
        <w:tc>
          <w:tcPr/>
          <w:p>
            <w:pPr>
              <w:pStyle w:val="Compact"/>
              <w:jc w:val="left"/>
            </w:pPr>
            <w:r>
              <w:t xml:space="preserve">Primary target</w:t>
            </w:r>
          </w:p>
        </w:tc>
        <w:tc>
          <w:tcPr/>
          <w:p>
            <w:pPr>
              <w:pStyle w:val="Compact"/>
              <w:jc w:val="left"/>
            </w:pPr>
            <w:r>
              <w:t xml:space="preserve">Same year</w:t>
            </w:r>
          </w:p>
        </w:tc>
        <w:tc>
          <w:tcPr/>
          <w:p>
            <w:pPr>
              <w:pStyle w:val="Compact"/>
              <w:jc w:val="left"/>
            </w:pPr>
            <w:r>
              <w:t xml:space="preserve">All 3 components required</w:t>
            </w:r>
          </w:p>
        </w:tc>
      </w:tr>
      <w:tr>
        <w:tc>
          <w:tcPr/>
          <w:p>
            <w:pPr>
              <w:pStyle w:val="Compact"/>
              <w:jc w:val="left"/>
            </w:pPr>
            <w:r>
              <w:rPr>
                <w:rStyle w:val="VerbatimChar"/>
              </w:rPr>
              <w:t xml:space="preserve">high_deprivation</w:t>
            </w:r>
          </w:p>
        </w:tc>
        <w:tc>
          <w:tcPr/>
          <w:p>
            <w:pPr>
              <w:pStyle w:val="Compact"/>
              <w:jc w:val="left"/>
            </w:pPr>
            <w:r>
              <w:t xml:space="preserve">Derived</w:t>
            </w:r>
          </w:p>
        </w:tc>
        <w:tc>
          <w:tcPr/>
          <w:p>
            <w:pPr>
              <w:pStyle w:val="Compact"/>
              <w:jc w:val="left"/>
            </w:pPr>
            <w:r>
              <w:t xml:space="preserve">Binary 0/1</w:t>
            </w:r>
          </w:p>
        </w:tc>
        <w:tc>
          <w:tcPr/>
          <w:p>
            <w:pPr>
              <w:pStyle w:val="Compact"/>
              <w:jc w:val="left"/>
            </w:pPr>
            <w:r>
              <w:t xml:space="preserve">RQ4 target</w:t>
            </w:r>
          </w:p>
        </w:tc>
        <w:tc>
          <w:tcPr/>
          <w:p>
            <w:pPr>
              <w:pStyle w:val="Compact"/>
              <w:jc w:val="left"/>
            </w:pPr>
            <w:r>
              <w:t xml:space="preserve">One-year-ahead</w:t>
            </w:r>
          </w:p>
        </w:tc>
        <w:tc>
          <w:tcPr/>
          <w:p>
            <w:pPr>
              <w:pStyle w:val="Compact"/>
              <w:jc w:val="left"/>
            </w:pPr>
            <w:r>
              <w:t xml:space="preserve">Threshold learned in training</w:t>
            </w:r>
          </w:p>
        </w:tc>
      </w:tr>
      <w:tr>
        <w:tc>
          <w:tcPr/>
          <w:p>
            <w:pPr>
              <w:pStyle w:val="Compact"/>
              <w:jc w:val="left"/>
            </w:pPr>
            <w:r>
              <w:rPr>
                <w:rStyle w:val="VerbatimChar"/>
              </w:rPr>
              <w:t xml:space="preserve">gdp_per_capita_constant_usd</w:t>
            </w:r>
          </w:p>
        </w:tc>
        <w:tc>
          <w:tcPr/>
          <w:p>
            <w:pPr>
              <w:pStyle w:val="Compact"/>
              <w:jc w:val="left"/>
            </w:pPr>
            <w:r>
              <w:rPr>
                <w:rStyle w:val="VerbatimChar"/>
              </w:rPr>
              <w:t xml:space="preserve">NY.GDP.PCAP.KD</w:t>
            </w:r>
          </w:p>
        </w:tc>
        <w:tc>
          <w:tcPr/>
          <w:p>
            <w:pPr>
              <w:pStyle w:val="Compact"/>
              <w:jc w:val="left"/>
            </w:pPr>
            <w:r>
              <w:t xml:space="preserve">Const. 2015 USD/person</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 sensitivity</w:t>
            </w:r>
          </w:p>
        </w:tc>
      </w:tr>
      <w:tr>
        <w:tc>
          <w:tcPr/>
          <w:p>
            <w:pPr>
              <w:pStyle w:val="Compact"/>
              <w:jc w:val="left"/>
            </w:pPr>
            <w:r>
              <w:rPr>
                <w:rStyle w:val="VerbatimChar"/>
              </w:rPr>
              <w:t xml:space="preserve">urban_population_pct</w:t>
            </w:r>
          </w:p>
        </w:tc>
        <w:tc>
          <w:tcPr/>
          <w:p>
            <w:pPr>
              <w:pStyle w:val="Compact"/>
              <w:jc w:val="left"/>
            </w:pPr>
            <w:r>
              <w:rPr>
                <w:rStyle w:val="VerbatimChar"/>
              </w:rPr>
              <w:t xml:space="preserve">SP.URB.TOTL.IN.ZS</w:t>
            </w:r>
          </w:p>
        </w:tc>
        <w:tc>
          <w:tcPr/>
          <w:p>
            <w:pPr>
              <w:pStyle w:val="Compact"/>
              <w:jc w:val="left"/>
            </w:pPr>
            <w:r>
              <w:t xml:space="preserve">Percent, 0–100</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 sensitivity</w:t>
            </w:r>
          </w:p>
        </w:tc>
      </w:tr>
      <w:tr>
        <w:tc>
          <w:tcPr/>
          <w:p>
            <w:pPr>
              <w:pStyle w:val="Compact"/>
              <w:jc w:val="left"/>
            </w:pPr>
            <w:r>
              <w:rPr>
                <w:rStyle w:val="VerbatimChar"/>
              </w:rPr>
              <w:t xml:space="preserve">population_density</w:t>
            </w:r>
          </w:p>
        </w:tc>
        <w:tc>
          <w:tcPr/>
          <w:p>
            <w:pPr>
              <w:pStyle w:val="Compact"/>
              <w:jc w:val="left"/>
            </w:pPr>
            <w:r>
              <w:rPr>
                <w:rStyle w:val="VerbatimChar"/>
              </w:rPr>
              <w:t xml:space="preserve">EN.POP.DNST</w:t>
            </w:r>
          </w:p>
        </w:tc>
        <w:tc>
          <w:tcPr/>
          <w:p>
            <w:pPr>
              <w:pStyle w:val="Compact"/>
              <w:jc w:val="left"/>
            </w:pPr>
            <w:r>
              <w:t xml:space="preserve">People/km²</w:t>
            </w:r>
          </w:p>
        </w:tc>
        <w:tc>
          <w:tcPr/>
          <w:p>
            <w:pPr>
              <w:pStyle w:val="Compact"/>
              <w:jc w:val="left"/>
            </w:pPr>
            <w:r>
              <w:t xml:space="preserve">Predictor</w:t>
            </w:r>
          </w:p>
        </w:tc>
        <w:tc>
          <w:tcPr/>
          <w:p>
            <w:pPr>
              <w:pStyle w:val="Compact"/>
              <w:jc w:val="left"/>
            </w:pPr>
            <w:r>
              <w:t xml:space="preserve">Prior year (RQ4)</w:t>
            </w:r>
          </w:p>
        </w:tc>
        <w:tc>
          <w:tcPr/>
          <w:p>
            <w:pPr>
              <w:pStyle w:val="Compact"/>
              <w:jc w:val="left"/>
            </w:pPr>
            <w:r>
              <w:t xml:space="preserve">Complete-case sensitivity</w:t>
            </w:r>
          </w:p>
        </w:tc>
      </w:tr>
      <w:tr>
        <w:tc>
          <w:tcPr/>
          <w:p>
            <w:pPr>
              <w:pStyle w:val="Compact"/>
              <w:jc w:val="left"/>
            </w:pPr>
            <w:r>
              <w:rPr>
                <w:rStyle w:val="VerbatimChar"/>
              </w:rPr>
              <w:t xml:space="preserve">population_total</w:t>
            </w:r>
          </w:p>
        </w:tc>
        <w:tc>
          <w:tcPr/>
          <w:p>
            <w:pPr>
              <w:pStyle w:val="Compact"/>
              <w:jc w:val="left"/>
            </w:pPr>
            <w:r>
              <w:rPr>
                <w:rStyle w:val="VerbatimChar"/>
              </w:rPr>
              <w:t xml:space="preserve">SP.POP.TOTL</w:t>
            </w:r>
          </w:p>
        </w:tc>
        <w:tc>
          <w:tcPr/>
          <w:p>
            <w:pPr>
              <w:pStyle w:val="Compact"/>
              <w:jc w:val="left"/>
            </w:pPr>
            <w:r>
              <w:t xml:space="preserve">Persons</w:t>
            </w:r>
          </w:p>
        </w:tc>
        <w:tc>
          <w:tcPr/>
          <w:p>
            <w:pPr>
              <w:pStyle w:val="Compact"/>
              <w:jc w:val="left"/>
            </w:pPr>
            <w:r>
              <w:t xml:space="preserve">Predictor</w:t>
            </w:r>
          </w:p>
        </w:tc>
        <w:tc>
          <w:tcPr/>
          <w:p>
            <w:pPr>
              <w:pStyle w:val="Compact"/>
              <w:jc w:val="left"/>
            </w:pPr>
            <w:r>
              <w:t xml:space="preserve">Prior year (RQ4); log-transform</w:t>
            </w:r>
          </w:p>
        </w:tc>
        <w:tc>
          <w:tcPr/>
          <w:p>
            <w:pPr>
              <w:pStyle w:val="Compact"/>
              <w:jc w:val="left"/>
            </w:pPr>
            <w:r>
              <w:t xml:space="preserve">Complete-case sensitivity</w:t>
            </w:r>
          </w:p>
        </w:tc>
      </w:tr>
    </w:tbl>
    <w:bookmarkEnd w:id="57"/>
    <w:bookmarkStart w:id="58" w:name="appendix-b-reproducibility-checklist"/>
    <w:p>
      <w:pPr>
        <w:pStyle w:val="Heading1"/>
      </w:pPr>
      <w:r>
        <w:t xml:space="preserve">Appendix B: Reproducibility Checklist</w:t>
      </w:r>
    </w:p>
    <w:p>
      <w:pPr>
        <w:pStyle w:val="FirstParagraph"/>
      </w:pPr>
      <w:r>
        <w:t xml:space="preserve">Reproducibility specification: Python 3.12; scikit-learn 1.x; pandas 2.x; statsmodels 0.14.x; NumPy 2.x; matplotlib 3.x. Random seed:</w:t>
      </w:r>
      <w:r>
        <w:t xml:space="preserve"> </w:t>
      </w:r>
      <w:r>
        <w:rPr>
          <w:rStyle w:val="VerbatimChar"/>
        </w:rPr>
        <w:t xml:space="preserve">6402026</w:t>
      </w:r>
      <w:r>
        <w:t xml:space="preserve">. Frozen CSV SHA-256 hash and pinned environment file will be recorded in the run manifest before any modeling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Evidence</w:t>
            </w:r>
          </w:p>
        </w:tc>
      </w:tr>
      <w:tr>
        <w:tc>
          <w:tcPr/>
          <w:p>
            <w:pPr>
              <w:pStyle w:val="Compact"/>
              <w:jc w:val="left"/>
            </w:pPr>
            <w:r>
              <w:t xml:space="preserve">Title page</w:t>
            </w:r>
          </w:p>
        </w:tc>
        <w:tc>
          <w:tcPr/>
          <w:p>
            <w:pPr>
              <w:pStyle w:val="Compact"/>
              <w:jc w:val="left"/>
            </w:pPr>
            <w:r>
              <w:t xml:space="preserve">Title, student name, Walsh College, QM640, mentor, term, date</w:t>
            </w:r>
          </w:p>
        </w:tc>
      </w:tr>
      <w:tr>
        <w:tc>
          <w:tcPr/>
          <w:p>
            <w:pPr>
              <w:pStyle w:val="Compact"/>
              <w:jc w:val="left"/>
            </w:pPr>
            <w:r>
              <w:t xml:space="preserve">Introduction + Literature Review</w:t>
            </w:r>
          </w:p>
        </w:tc>
        <w:tc>
          <w:tcPr/>
          <w:p>
            <w:pPr>
              <w:pStyle w:val="Compact"/>
              <w:jc w:val="left"/>
            </w:pPr>
            <w:r>
              <w:t xml:space="preserve">Background, problem, purpose, and comparative synthesis of 10 articles</w:t>
            </w:r>
          </w:p>
        </w:tc>
      </w:tr>
      <w:tr>
        <w:tc>
          <w:tcPr/>
          <w:p>
            <w:pPr>
              <w:pStyle w:val="Compact"/>
              <w:jc w:val="left"/>
            </w:pPr>
            <w:r>
              <w:t xml:space="preserve">Four RQs + hypotheses</w:t>
            </w:r>
          </w:p>
        </w:tc>
        <w:tc>
          <w:tcPr/>
          <w:p>
            <w:pPr>
              <w:pStyle w:val="Compact"/>
              <w:jc w:val="left"/>
            </w:pPr>
            <w:r>
              <w:t xml:space="preserve">RQ1–RQ4 each with</w:t>
            </w:r>
            <w:r>
              <w:t xml:space="preserve"> </w:t>
            </w:r>
            <m:oMath>
              <m:sSub>
                <m:e>
                  <m:r>
                    <m:t>H</m:t>
                  </m:r>
                </m:e>
                <m:sub>
                  <m:r>
                    <m:t>0</m:t>
                  </m:r>
                </m:sub>
              </m:sSub>
            </m:oMath>
            <w:r>
              <w:t xml:space="preserve"> </w:t>
            </w:r>
            <w:r>
              <w:t xml:space="preserve">and</w:t>
            </w:r>
            <w:r>
              <w:t xml:space="preserve"> </w:t>
            </w:r>
            <m:oMath>
              <m:sSub>
                <m:e>
                  <m:r>
                    <m:t>H</m:t>
                  </m:r>
                </m:e>
                <m:sub>
                  <m:r>
                    <m:t>1</m:t>
                  </m:r>
                </m:sub>
              </m:sSub>
            </m:oMath>
          </w:p>
        </w:tc>
      </w:tr>
      <w:tr>
        <w:tc>
          <w:tcPr/>
          <w:p>
            <w:pPr>
              <w:pStyle w:val="Compact"/>
              <w:jc w:val="left"/>
            </w:pPr>
            <w:r>
              <w:t xml:space="preserve">Sample-size formulae and table</w:t>
            </w:r>
          </w:p>
        </w:tc>
        <w:tc>
          <w:tcPr/>
          <w:p>
            <w:pPr>
              <w:pStyle w:val="Compact"/>
              <w:jc w:val="left"/>
            </w:pPr>
            <w:r>
              <w:t xml:space="preserve">RQ1=97; RQ2=100; RQ3=196; RQ4=175;</w:t>
            </w:r>
            <w:r>
              <w:t xml:space="preserve"> </w:t>
            </w:r>
            <m:oMath>
              <m:sSub>
                <m:e>
                  <m:r>
                    <m:t>N</m:t>
                  </m:r>
                </m:e>
                <m:sub>
                  <m:r>
                    <m:t>p</m:t>
                  </m:r>
                  <m:r>
                    <m:t>l</m:t>
                  </m:r>
                  <m:r>
                    <m:t>a</m:t>
                  </m:r>
                  <m:r>
                    <m:t>n</m:t>
                  </m:r>
                  <m:r>
                    <m:t>n</m:t>
                  </m:r>
                  <m:r>
                    <m:t>e</m:t>
                  </m:r>
                  <m:r>
                    <m:t>d</m:t>
                  </m:r>
                </m:sub>
              </m:sSub>
              <m:r>
                <m:rPr>
                  <m:sty m:val="p"/>
                </m:rPr>
                <m:t>=</m:t>
              </m:r>
              <m:r>
                <m:t>216</m:t>
              </m:r>
            </m:oMath>
          </w:p>
        </w:tc>
      </w:tr>
      <w:tr>
        <w:tc>
          <w:tcPr/>
          <w:p>
            <w:pPr>
              <w:pStyle w:val="Compact"/>
              <w:jc w:val="left"/>
            </w:pPr>
            <w:r>
              <w:t xml:space="preserve">Source URLs + license</w:t>
            </w:r>
          </w:p>
        </w:tc>
        <w:tc>
          <w:tcPr/>
          <w:p>
            <w:pPr>
              <w:pStyle w:val="Compact"/>
              <w:jc w:val="left"/>
            </w:pPr>
            <w:r>
              <w:t xml:space="preserve">WDI portal, API pattern, CC BY-4.0, acquisition date, repository URL</w:t>
            </w:r>
          </w:p>
        </w:tc>
      </w:tr>
      <w:tr>
        <w:tc>
          <w:tcPr/>
          <w:p>
            <w:pPr>
              <w:pStyle w:val="Compact"/>
              <w:jc w:val="left"/>
            </w:pPr>
            <w:r>
              <w:t xml:space="preserve">Data dictionary</w:t>
            </w:r>
          </w:p>
        </w:tc>
        <w:tc>
          <w:tcPr/>
          <w:p>
            <w:pPr>
              <w:pStyle w:val="Compact"/>
              <w:jc w:val="left"/>
            </w:pPr>
            <w:r>
              <w:t xml:space="preserve">Body table + Appendix A; units, encoding, timing, missingness</w:t>
            </w:r>
          </w:p>
        </w:tc>
      </w:tr>
      <w:tr>
        <w:tc>
          <w:tcPr/>
          <w:p>
            <w:pPr>
              <w:pStyle w:val="Compact"/>
              <w:jc w:val="left"/>
            </w:pPr>
            <w:r>
              <w:t xml:space="preserve">Open code and data</w:t>
            </w:r>
          </w:p>
        </w:tc>
        <w:tc>
          <w:tcPr/>
          <w:p>
            <w:pPr>
              <w:pStyle w:val="Compact"/>
              <w:jc w:val="left"/>
            </w:pPr>
            <w:r>
              <w:t xml:space="preserve">Frozen CSV, scripts, audit JSON, evidence workbook in repository</w:t>
            </w:r>
          </w:p>
        </w:tc>
      </w:tr>
      <w:tr>
        <w:tc>
          <w:tcPr/>
          <w:p>
            <w:pPr>
              <w:pStyle w:val="Compact"/>
              <w:jc w:val="left"/>
            </w:pPr>
            <w:r>
              <w:t xml:space="preserve">Figures</w:t>
            </w:r>
          </w:p>
        </w:tc>
        <w:tc>
          <w:tcPr/>
          <w:p>
            <w:pPr>
              <w:pStyle w:val="Compact"/>
              <w:jc w:val="left"/>
            </w:pPr>
            <w:r>
              <w:t xml:space="preserve">Figure 1 (pipeline); Figure 2 (panel preview); both labeled and cited</w:t>
            </w:r>
          </w:p>
        </w:tc>
      </w:tr>
      <w:tr>
        <w:tc>
          <w:tcPr/>
          <w:p>
            <w:pPr>
              <w:pStyle w:val="Compact"/>
              <w:jc w:val="left"/>
            </w:pPr>
            <w:r>
              <w:t xml:space="preserve">Evaluation metrics with formulae</w:t>
            </w:r>
          </w:p>
        </w:tc>
        <w:tc>
          <w:tcPr/>
          <w:p>
            <w:pPr>
              <w:pStyle w:val="Compact"/>
              <w:jc w:val="left"/>
            </w:pPr>
            <w:r>
              <w:t xml:space="preserve">Accuracy, precision, recall, specificity, F1, BA, ROC-AUC, PR-AUC, Brier</w:t>
            </w:r>
          </w:p>
        </w:tc>
      </w:tr>
      <w:tr>
        <w:tc>
          <w:tcPr/>
          <w:p>
            <w:pPr>
              <w:pStyle w:val="Compact"/>
              <w:jc w:val="left"/>
            </w:pPr>
            <w:r>
              <w:t xml:space="preserve">Recommendations + governance</w:t>
            </w:r>
          </w:p>
        </w:tc>
        <w:tc>
          <w:tcPr/>
          <w:p>
            <w:pPr>
              <w:pStyle w:val="Compact"/>
              <w:jc w:val="left"/>
            </w:pPr>
            <w:r>
              <w:t xml:space="preserve">Named users, two-stage application, prohibited uses, drift/recalibration</w:t>
            </w:r>
          </w:p>
        </w:tc>
      </w:tr>
      <w:tr>
        <w:tc>
          <w:tcPr/>
          <w:p>
            <w:pPr>
              <w:pStyle w:val="Compact"/>
              <w:jc w:val="left"/>
            </w:pPr>
            <w:r>
              <w:t xml:space="preserve">References</w:t>
            </w:r>
          </w:p>
        </w:tc>
        <w:tc>
          <w:tcPr/>
          <w:p>
            <w:pPr>
              <w:pStyle w:val="Compact"/>
              <w:jc w:val="left"/>
            </w:pPr>
            <w:r>
              <w:t xml:space="preserve">12 entries; 10 with DOIs; all citations matched</w:t>
            </w:r>
          </w:p>
        </w:tc>
      </w:tr>
    </w:tbl>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35" Target="https://data.worldbank.org/" TargetMode="External" /><Relationship Type="http://schemas.openxmlformats.org/officeDocument/2006/relationships/hyperlink" Id="rId36" Target="https://gitea.plexuserp.com/Plx/PlexusERP" TargetMode="External" /></Relationships>
</file>

<file path=word/_rels/footnotes.xml.rels><?xml version="1.0" encoding="UTF-8"?><Relationships xmlns="http://schemas.openxmlformats.org/package/2006/relationships"><Relationship Type="http://schemas.openxmlformats.org/officeDocument/2006/relationships/hyperlink" Id="rId35" Target="https://data.worldbank.org/" TargetMode="External" /><Relationship Type="http://schemas.openxmlformats.org/officeDocument/2006/relationships/hyperlink" Id="rId36" Target="https://gitea.plexuserp.com/Plx/PlexusER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and Explaining Housing Basic-Services Deprivation Across African Countries Using Public World Bank Indicators, 2000–2024</dc:title>
  <dc:creator>Ahmadou Sardaouna</dc:creator>
  <dc:language>en-US</dc:language>
  <cp:keywords/>
  <dcterms:created xsi:type="dcterms:W3CDTF">2026-07-23T21:05:18Z</dcterms:created>
  <dcterms:modified xsi:type="dcterms:W3CDTF">2026-07-23T21:05:18Z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23, 2026</vt:lpwstr>
  </property>
  <property fmtid="{D5CDD505-2E9C-101B-9397-08002B2CF9AE}" pid="3" name="subtitle">
    <vt:lpwstr>Walsh College QM640: Data Analytics Capstone Mentor: Dr. Basu Summer 2026 Term</vt:lpwstr>
  </property>
</Properties>
</file>