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B28" w:rsidRDefault="00E94B28">
      <w:pPr>
        <w:rPr>
          <w:b/>
          <w:sz w:val="32"/>
          <w:szCs w:val="32"/>
        </w:rPr>
      </w:pPr>
      <w:r>
        <w:rPr>
          <w:b/>
          <w:sz w:val="32"/>
          <w:szCs w:val="32"/>
        </w:rPr>
        <w:t>Analysis of Variance</w:t>
      </w:r>
    </w:p>
    <w:p w:rsidR="00E94B28" w:rsidRDefault="00E4298E">
      <w:r>
        <w:t>The term analysis of v</w:t>
      </w:r>
      <w:r w:rsidR="00E94B28">
        <w:t xml:space="preserve">ariance (ANOVA) describes a group of inferential statistical tests that were developed by the British statistician Sir Ronald Fisher. Whereas a t-test is used in statistics to </w:t>
      </w:r>
      <w:r w:rsidR="009122DA">
        <w:t xml:space="preserve">determine </w:t>
      </w:r>
      <w:r w:rsidR="004D530C">
        <w:t>if</w:t>
      </w:r>
      <w:r w:rsidR="00E94B28">
        <w:t xml:space="preserve"> </w:t>
      </w:r>
      <w:r w:rsidR="001E0742">
        <w:t xml:space="preserve">the means of </w:t>
      </w:r>
      <w:r w:rsidR="00E94B28">
        <w:t>two groups</w:t>
      </w:r>
      <w:r w:rsidR="001E0742">
        <w:t xml:space="preserve"> differ significantly, analysis of variance allows for com</w:t>
      </w:r>
      <w:r w:rsidR="00285AEE">
        <w:t>parison of more than two groups</w:t>
      </w:r>
      <w:r w:rsidR="003315BE">
        <w:t xml:space="preserve">. </w:t>
      </w:r>
      <w:r w:rsidR="001E0742">
        <w:t xml:space="preserve">ANOVA evaluates the null hypothesis that in a set of </w:t>
      </w:r>
      <w:r w:rsidR="001E0742">
        <w:rPr>
          <w:i/>
        </w:rPr>
        <w:t xml:space="preserve">k </w:t>
      </w:r>
      <w:r w:rsidR="001E0742">
        <w:t xml:space="preserve">independent samples (where </w:t>
      </w:r>
      <w:r w:rsidR="001E0742">
        <w:rPr>
          <w:i/>
        </w:rPr>
        <w:t xml:space="preserve">k </w:t>
      </w:r>
      <w:r w:rsidR="001E0742">
        <w:t xml:space="preserve">≥ 2), all </w:t>
      </w:r>
      <w:r w:rsidR="001E0742">
        <w:rPr>
          <w:i/>
        </w:rPr>
        <w:t xml:space="preserve">k </w:t>
      </w:r>
      <w:r w:rsidR="001E0742">
        <w:t xml:space="preserve">samples are drawn from the same population, with the alternate hypothesis that at least two of the samples are drawn from populations with different mean values. The test statistic computed is based on the </w:t>
      </w:r>
      <w:r w:rsidR="001E0742">
        <w:rPr>
          <w:i/>
        </w:rPr>
        <w:t xml:space="preserve">F </w:t>
      </w:r>
      <w:r w:rsidR="001E0742">
        <w:t xml:space="preserve">distribution. In the case of two samples (i.e., </w:t>
      </w:r>
      <w:r w:rsidR="001F002E">
        <w:t>a comparison of 2 means</w:t>
      </w:r>
      <w:r w:rsidR="001E0742">
        <w:t>), the t-test and the F-test are equivalent (</w:t>
      </w:r>
      <w:r w:rsidR="001F002E">
        <w:t xml:space="preserve">to be exact, </w:t>
      </w:r>
      <w:r w:rsidR="001E0742">
        <w:rPr>
          <w:i/>
        </w:rPr>
        <w:t>F</w:t>
      </w:r>
      <w:r w:rsidR="001E0742">
        <w:t xml:space="preserve"> = </w:t>
      </w:r>
      <w:r w:rsidR="001E0742">
        <w:rPr>
          <w:i/>
        </w:rPr>
        <w:t>t</w:t>
      </w:r>
      <w:r w:rsidR="001E0742" w:rsidRPr="001E0742">
        <w:rPr>
          <w:vertAlign w:val="superscript"/>
        </w:rPr>
        <w:t>2</w:t>
      </w:r>
      <w:r w:rsidR="001E0742">
        <w:t xml:space="preserve">); therefore, ANOVA is most frequently used when </w:t>
      </w:r>
      <w:r w:rsidR="001E0742">
        <w:rPr>
          <w:i/>
        </w:rPr>
        <w:t xml:space="preserve">k </w:t>
      </w:r>
      <w:r w:rsidR="001E0742">
        <w:t>&gt; 2.</w:t>
      </w:r>
    </w:p>
    <w:p w:rsidR="00E4298E" w:rsidRDefault="00E4298E" w:rsidP="00E4298E">
      <w:pPr>
        <w:spacing w:after="0"/>
        <w:rPr>
          <w:b/>
        </w:rPr>
      </w:pPr>
    </w:p>
    <w:p w:rsidR="00E4298E" w:rsidRPr="00E4298E" w:rsidRDefault="00E4298E" w:rsidP="00E4298E">
      <w:pPr>
        <w:spacing w:after="0"/>
        <w:rPr>
          <w:b/>
          <w:sz w:val="28"/>
          <w:szCs w:val="28"/>
        </w:rPr>
      </w:pPr>
      <w:r w:rsidRPr="00E4298E">
        <w:rPr>
          <w:b/>
          <w:sz w:val="28"/>
          <w:szCs w:val="28"/>
        </w:rPr>
        <w:t>One-Way Analysis of Variance</w:t>
      </w:r>
    </w:p>
    <w:p w:rsidR="001E0742" w:rsidRDefault="001F002E">
      <w:r>
        <w:t xml:space="preserve">The most commonly used ANOVA is the </w:t>
      </w:r>
      <w:r w:rsidR="0063366E" w:rsidRPr="005F75CD">
        <w:rPr>
          <w:b/>
        </w:rPr>
        <w:t>one-way</w:t>
      </w:r>
      <w:r w:rsidRPr="005F75CD">
        <w:rPr>
          <w:b/>
        </w:rPr>
        <w:t xml:space="preserve"> analysis of variance,</w:t>
      </w:r>
      <w:r>
        <w:t xml:space="preserve"> in which each of </w:t>
      </w:r>
      <w:r>
        <w:rPr>
          <w:i/>
        </w:rPr>
        <w:t>k</w:t>
      </w:r>
      <w:r>
        <w:t xml:space="preserve"> sample means is used to estimate the value of the mean of the population from which the sample is drawn. A significant test statistic indicates that a difference exists between at least 2 of the sample means; i.e., that at least two of the samples represent populations with different mean values.</w:t>
      </w:r>
    </w:p>
    <w:p w:rsidR="00510FC6" w:rsidRDefault="003315BE">
      <w:r>
        <w:t xml:space="preserve">In order to calculate the test statistic for the ANOVA, </w:t>
      </w:r>
      <w:r w:rsidR="001F002E">
        <w:t xml:space="preserve">the total variability in the data </w:t>
      </w:r>
      <w:r>
        <w:t xml:space="preserve">is divided </w:t>
      </w:r>
      <w:r w:rsidR="001F002E">
        <w:t xml:space="preserve">into two groups: that which represents </w:t>
      </w:r>
      <w:r w:rsidR="00285AEE">
        <w:t xml:space="preserve">the difference among the means of the </w:t>
      </w:r>
      <w:r w:rsidR="00285AEE">
        <w:rPr>
          <w:i/>
        </w:rPr>
        <w:t>k</w:t>
      </w:r>
      <w:r w:rsidR="00285AEE">
        <w:t xml:space="preserve"> groups (between group variability) and that which measures the variability that exists among the members in each of the </w:t>
      </w:r>
      <w:r w:rsidR="00285AEE">
        <w:rPr>
          <w:i/>
        </w:rPr>
        <w:t>k</w:t>
      </w:r>
      <w:r w:rsidR="00285AEE">
        <w:t xml:space="preserve"> groups (within group variability).  </w:t>
      </w:r>
    </w:p>
    <w:p w:rsidR="001470E9" w:rsidRDefault="001470E9">
      <w:pPr>
        <w:rPr>
          <w:i/>
        </w:rPr>
      </w:pPr>
      <w:proofErr w:type="gramStart"/>
      <w:r>
        <w:rPr>
          <w:i/>
        </w:rPr>
        <w:t xml:space="preserve">Notation for a </w:t>
      </w:r>
      <w:r w:rsidR="00A909B0">
        <w:rPr>
          <w:i/>
        </w:rPr>
        <w:t>table of data</w:t>
      </w:r>
      <w:r w:rsidR="00855982">
        <w:rPr>
          <w:i/>
        </w:rPr>
        <w:t xml:space="preserve"> with 3 groups and 4 members in each group</w:t>
      </w:r>
      <w:r w:rsidR="00A909B0">
        <w:rPr>
          <w:i/>
        </w:rPr>
        <w:t>.</w:t>
      </w:r>
      <w:proofErr w:type="gramEnd"/>
    </w:p>
    <w:tbl>
      <w:tblPr>
        <w:tblStyle w:val="TableGrid"/>
        <w:tblW w:w="0" w:type="auto"/>
        <w:tblLook w:val="04A0"/>
      </w:tblPr>
      <w:tblGrid>
        <w:gridCol w:w="1435"/>
        <w:gridCol w:w="1435"/>
        <w:gridCol w:w="1435"/>
        <w:gridCol w:w="1435"/>
      </w:tblGrid>
      <w:tr w:rsidR="00A909B0" w:rsidTr="00A909B0">
        <w:trPr>
          <w:trHeight w:val="243"/>
        </w:trPr>
        <w:tc>
          <w:tcPr>
            <w:tcW w:w="1435" w:type="dxa"/>
            <w:vAlign w:val="center"/>
          </w:tcPr>
          <w:p w:rsidR="00A909B0" w:rsidRPr="00A909B0" w:rsidRDefault="00A909B0" w:rsidP="00A909B0">
            <w:pPr>
              <w:jc w:val="center"/>
              <w:rPr>
                <w:i/>
              </w:rPr>
            </w:pPr>
            <w:proofErr w:type="spellStart"/>
            <w:r w:rsidRPr="00A909B0">
              <w:rPr>
                <w:i/>
              </w:rPr>
              <w:t>i</w:t>
            </w:r>
            <w:proofErr w:type="spellEnd"/>
          </w:p>
        </w:tc>
        <w:tc>
          <w:tcPr>
            <w:tcW w:w="1435" w:type="dxa"/>
            <w:vAlign w:val="center"/>
          </w:tcPr>
          <w:p w:rsidR="00A909B0" w:rsidRPr="00A909B0" w:rsidRDefault="00A909B0" w:rsidP="00A909B0">
            <w:pPr>
              <w:jc w:val="center"/>
              <w:rPr>
                <w:i/>
                <w:vertAlign w:val="subscript"/>
              </w:rPr>
            </w:pPr>
            <w:r>
              <w:rPr>
                <w:i/>
              </w:rPr>
              <w:t>X</w:t>
            </w:r>
            <w:r>
              <w:rPr>
                <w:i/>
                <w:vertAlign w:val="subscript"/>
              </w:rPr>
              <w:t>i1</w:t>
            </w:r>
          </w:p>
        </w:tc>
        <w:tc>
          <w:tcPr>
            <w:tcW w:w="1435" w:type="dxa"/>
            <w:vAlign w:val="center"/>
          </w:tcPr>
          <w:p w:rsidR="00A909B0" w:rsidRDefault="00A909B0" w:rsidP="00A909B0">
            <w:pPr>
              <w:jc w:val="center"/>
              <w:rPr>
                <w:i/>
              </w:rPr>
            </w:pPr>
            <w:r>
              <w:rPr>
                <w:i/>
              </w:rPr>
              <w:t>X</w:t>
            </w:r>
            <w:r>
              <w:rPr>
                <w:i/>
                <w:vertAlign w:val="subscript"/>
              </w:rPr>
              <w:t>i2</w:t>
            </w:r>
          </w:p>
        </w:tc>
        <w:tc>
          <w:tcPr>
            <w:tcW w:w="1435" w:type="dxa"/>
            <w:vAlign w:val="center"/>
          </w:tcPr>
          <w:p w:rsidR="00A909B0" w:rsidRPr="00A909B0" w:rsidRDefault="00A909B0" w:rsidP="00A909B0">
            <w:pPr>
              <w:jc w:val="center"/>
              <w:rPr>
                <w:b/>
                <w:i/>
              </w:rPr>
            </w:pPr>
            <w:r>
              <w:rPr>
                <w:i/>
              </w:rPr>
              <w:t>X</w:t>
            </w:r>
            <w:r>
              <w:rPr>
                <w:i/>
                <w:vertAlign w:val="subscript"/>
              </w:rPr>
              <w:t>i3</w:t>
            </w:r>
          </w:p>
        </w:tc>
      </w:tr>
      <w:tr w:rsidR="00A909B0" w:rsidTr="00A909B0">
        <w:trPr>
          <w:trHeight w:val="243"/>
        </w:trPr>
        <w:tc>
          <w:tcPr>
            <w:tcW w:w="1435" w:type="dxa"/>
            <w:vAlign w:val="center"/>
          </w:tcPr>
          <w:p w:rsidR="00A909B0" w:rsidRPr="00A909B0" w:rsidRDefault="00A909B0" w:rsidP="00A909B0">
            <w:pPr>
              <w:jc w:val="center"/>
            </w:pPr>
            <w:r w:rsidRPr="00A909B0">
              <w:t>1</w:t>
            </w:r>
          </w:p>
        </w:tc>
        <w:tc>
          <w:tcPr>
            <w:tcW w:w="1435" w:type="dxa"/>
            <w:vAlign w:val="center"/>
          </w:tcPr>
          <w:p w:rsidR="00A909B0" w:rsidRPr="00A909B0" w:rsidRDefault="00A909B0" w:rsidP="00A909B0">
            <w:pPr>
              <w:jc w:val="center"/>
              <w:rPr>
                <w:i/>
                <w:vertAlign w:val="subscript"/>
              </w:rPr>
            </w:pPr>
            <w:r>
              <w:rPr>
                <w:i/>
              </w:rPr>
              <w:t>X</w:t>
            </w:r>
            <w:r>
              <w:rPr>
                <w:i/>
                <w:vertAlign w:val="subscript"/>
              </w:rPr>
              <w:t>11</w:t>
            </w:r>
          </w:p>
        </w:tc>
        <w:tc>
          <w:tcPr>
            <w:tcW w:w="1435" w:type="dxa"/>
            <w:vAlign w:val="center"/>
          </w:tcPr>
          <w:p w:rsidR="00A909B0" w:rsidRPr="00A909B0" w:rsidRDefault="00A909B0" w:rsidP="0072514E">
            <w:pPr>
              <w:jc w:val="center"/>
              <w:rPr>
                <w:i/>
                <w:vertAlign w:val="subscript"/>
              </w:rPr>
            </w:pPr>
            <w:r>
              <w:rPr>
                <w:i/>
              </w:rPr>
              <w:t>X</w:t>
            </w:r>
            <w:r>
              <w:rPr>
                <w:i/>
                <w:vertAlign w:val="subscript"/>
              </w:rPr>
              <w:t>12</w:t>
            </w:r>
          </w:p>
        </w:tc>
        <w:tc>
          <w:tcPr>
            <w:tcW w:w="1435" w:type="dxa"/>
            <w:vAlign w:val="center"/>
          </w:tcPr>
          <w:p w:rsidR="00A909B0" w:rsidRPr="00A909B0" w:rsidRDefault="00A909B0" w:rsidP="0072514E">
            <w:pPr>
              <w:jc w:val="center"/>
              <w:rPr>
                <w:i/>
                <w:vertAlign w:val="subscript"/>
              </w:rPr>
            </w:pPr>
            <w:r>
              <w:rPr>
                <w:i/>
              </w:rPr>
              <w:t>X</w:t>
            </w:r>
            <w:r>
              <w:rPr>
                <w:i/>
                <w:vertAlign w:val="subscript"/>
              </w:rPr>
              <w:t>13</w:t>
            </w:r>
          </w:p>
        </w:tc>
      </w:tr>
      <w:tr w:rsidR="00A909B0" w:rsidTr="00A909B0">
        <w:trPr>
          <w:trHeight w:val="243"/>
        </w:trPr>
        <w:tc>
          <w:tcPr>
            <w:tcW w:w="1435" w:type="dxa"/>
            <w:vAlign w:val="center"/>
          </w:tcPr>
          <w:p w:rsidR="00A909B0" w:rsidRPr="00A909B0" w:rsidRDefault="00A909B0" w:rsidP="00A909B0">
            <w:pPr>
              <w:jc w:val="center"/>
            </w:pPr>
            <w:r w:rsidRPr="00A909B0">
              <w:t>2</w:t>
            </w:r>
          </w:p>
        </w:tc>
        <w:tc>
          <w:tcPr>
            <w:tcW w:w="1435" w:type="dxa"/>
            <w:vAlign w:val="center"/>
          </w:tcPr>
          <w:p w:rsidR="00A909B0" w:rsidRDefault="00A909B0" w:rsidP="00A909B0">
            <w:pPr>
              <w:jc w:val="center"/>
              <w:rPr>
                <w:i/>
              </w:rPr>
            </w:pPr>
            <w:r>
              <w:rPr>
                <w:i/>
              </w:rPr>
              <w:t>X</w:t>
            </w:r>
            <w:r>
              <w:rPr>
                <w:i/>
                <w:vertAlign w:val="subscript"/>
              </w:rPr>
              <w:t>21</w:t>
            </w:r>
          </w:p>
        </w:tc>
        <w:tc>
          <w:tcPr>
            <w:tcW w:w="1435" w:type="dxa"/>
            <w:vAlign w:val="center"/>
          </w:tcPr>
          <w:p w:rsidR="00A909B0" w:rsidRDefault="00A909B0" w:rsidP="0072514E">
            <w:pPr>
              <w:jc w:val="center"/>
              <w:rPr>
                <w:i/>
              </w:rPr>
            </w:pPr>
            <w:r>
              <w:rPr>
                <w:i/>
              </w:rPr>
              <w:t>X</w:t>
            </w:r>
            <w:r>
              <w:rPr>
                <w:i/>
                <w:vertAlign w:val="subscript"/>
              </w:rPr>
              <w:t>22</w:t>
            </w:r>
          </w:p>
        </w:tc>
        <w:tc>
          <w:tcPr>
            <w:tcW w:w="1435" w:type="dxa"/>
            <w:vAlign w:val="center"/>
          </w:tcPr>
          <w:p w:rsidR="00A909B0" w:rsidRDefault="00A909B0" w:rsidP="0072514E">
            <w:pPr>
              <w:jc w:val="center"/>
              <w:rPr>
                <w:i/>
              </w:rPr>
            </w:pPr>
            <w:r>
              <w:rPr>
                <w:i/>
              </w:rPr>
              <w:t>X</w:t>
            </w:r>
            <w:r>
              <w:rPr>
                <w:i/>
                <w:vertAlign w:val="subscript"/>
              </w:rPr>
              <w:t>23</w:t>
            </w:r>
          </w:p>
        </w:tc>
      </w:tr>
      <w:tr w:rsidR="00A909B0" w:rsidTr="00A909B0">
        <w:trPr>
          <w:trHeight w:val="243"/>
        </w:trPr>
        <w:tc>
          <w:tcPr>
            <w:tcW w:w="1435" w:type="dxa"/>
            <w:vAlign w:val="center"/>
          </w:tcPr>
          <w:p w:rsidR="00A909B0" w:rsidRPr="00A909B0" w:rsidRDefault="00A909B0" w:rsidP="00A909B0">
            <w:pPr>
              <w:jc w:val="center"/>
            </w:pPr>
            <w:r w:rsidRPr="00A909B0">
              <w:t>3</w:t>
            </w:r>
          </w:p>
        </w:tc>
        <w:tc>
          <w:tcPr>
            <w:tcW w:w="1435" w:type="dxa"/>
            <w:vAlign w:val="center"/>
          </w:tcPr>
          <w:p w:rsidR="00A909B0" w:rsidRDefault="00A909B0" w:rsidP="00A909B0">
            <w:pPr>
              <w:jc w:val="center"/>
              <w:rPr>
                <w:i/>
              </w:rPr>
            </w:pPr>
            <w:r>
              <w:rPr>
                <w:i/>
              </w:rPr>
              <w:t>X</w:t>
            </w:r>
            <w:r>
              <w:rPr>
                <w:i/>
                <w:vertAlign w:val="subscript"/>
              </w:rPr>
              <w:t>31</w:t>
            </w:r>
          </w:p>
        </w:tc>
        <w:tc>
          <w:tcPr>
            <w:tcW w:w="1435" w:type="dxa"/>
            <w:vAlign w:val="center"/>
          </w:tcPr>
          <w:p w:rsidR="00A909B0" w:rsidRDefault="00A909B0" w:rsidP="0072514E">
            <w:pPr>
              <w:jc w:val="center"/>
              <w:rPr>
                <w:i/>
              </w:rPr>
            </w:pPr>
            <w:r>
              <w:rPr>
                <w:i/>
              </w:rPr>
              <w:t>X</w:t>
            </w:r>
            <w:r>
              <w:rPr>
                <w:i/>
                <w:vertAlign w:val="subscript"/>
              </w:rPr>
              <w:t>32</w:t>
            </w:r>
          </w:p>
        </w:tc>
        <w:tc>
          <w:tcPr>
            <w:tcW w:w="1435" w:type="dxa"/>
            <w:vAlign w:val="center"/>
          </w:tcPr>
          <w:p w:rsidR="00A909B0" w:rsidRDefault="00A909B0" w:rsidP="0072514E">
            <w:pPr>
              <w:jc w:val="center"/>
              <w:rPr>
                <w:i/>
              </w:rPr>
            </w:pPr>
            <w:r>
              <w:rPr>
                <w:i/>
              </w:rPr>
              <w:t>X</w:t>
            </w:r>
            <w:r>
              <w:rPr>
                <w:i/>
                <w:vertAlign w:val="subscript"/>
              </w:rPr>
              <w:t>33</w:t>
            </w:r>
          </w:p>
        </w:tc>
      </w:tr>
      <w:tr w:rsidR="00A909B0" w:rsidTr="00A909B0">
        <w:trPr>
          <w:trHeight w:val="243"/>
        </w:trPr>
        <w:tc>
          <w:tcPr>
            <w:tcW w:w="1435" w:type="dxa"/>
            <w:vAlign w:val="center"/>
          </w:tcPr>
          <w:p w:rsidR="00A909B0" w:rsidRPr="00A909B0" w:rsidRDefault="00A909B0" w:rsidP="00A909B0">
            <w:pPr>
              <w:jc w:val="center"/>
            </w:pPr>
            <w:r w:rsidRPr="00A909B0">
              <w:t>4</w:t>
            </w:r>
          </w:p>
        </w:tc>
        <w:tc>
          <w:tcPr>
            <w:tcW w:w="1435" w:type="dxa"/>
            <w:vAlign w:val="center"/>
          </w:tcPr>
          <w:p w:rsidR="00A909B0" w:rsidRDefault="00A909B0" w:rsidP="00A909B0">
            <w:pPr>
              <w:jc w:val="center"/>
              <w:rPr>
                <w:i/>
              </w:rPr>
            </w:pPr>
            <w:r>
              <w:rPr>
                <w:i/>
              </w:rPr>
              <w:t>X</w:t>
            </w:r>
            <w:r>
              <w:rPr>
                <w:i/>
                <w:vertAlign w:val="subscript"/>
              </w:rPr>
              <w:t>41</w:t>
            </w:r>
          </w:p>
        </w:tc>
        <w:tc>
          <w:tcPr>
            <w:tcW w:w="1435" w:type="dxa"/>
            <w:vAlign w:val="center"/>
          </w:tcPr>
          <w:p w:rsidR="00A909B0" w:rsidRDefault="00A909B0" w:rsidP="0072514E">
            <w:pPr>
              <w:jc w:val="center"/>
              <w:rPr>
                <w:i/>
              </w:rPr>
            </w:pPr>
            <w:r>
              <w:rPr>
                <w:i/>
              </w:rPr>
              <w:t>X</w:t>
            </w:r>
            <w:r>
              <w:rPr>
                <w:i/>
                <w:vertAlign w:val="subscript"/>
              </w:rPr>
              <w:t>42</w:t>
            </w:r>
          </w:p>
        </w:tc>
        <w:tc>
          <w:tcPr>
            <w:tcW w:w="1435" w:type="dxa"/>
            <w:vAlign w:val="center"/>
          </w:tcPr>
          <w:p w:rsidR="00A909B0" w:rsidRDefault="00A909B0" w:rsidP="0072514E">
            <w:pPr>
              <w:jc w:val="center"/>
              <w:rPr>
                <w:i/>
              </w:rPr>
            </w:pPr>
            <w:r>
              <w:rPr>
                <w:i/>
              </w:rPr>
              <w:t>X</w:t>
            </w:r>
            <w:r>
              <w:rPr>
                <w:i/>
                <w:vertAlign w:val="subscript"/>
              </w:rPr>
              <w:t>43</w:t>
            </w:r>
          </w:p>
        </w:tc>
      </w:tr>
      <w:tr w:rsidR="00A909B0" w:rsidTr="00A909B0">
        <w:trPr>
          <w:trHeight w:val="254"/>
        </w:trPr>
        <w:tc>
          <w:tcPr>
            <w:tcW w:w="1435" w:type="dxa"/>
            <w:vAlign w:val="center"/>
          </w:tcPr>
          <w:p w:rsidR="00A909B0" w:rsidRPr="00A909B0" w:rsidRDefault="00A909B0" w:rsidP="00A909B0">
            <w:pPr>
              <w:jc w:val="center"/>
            </w:pPr>
            <w:r>
              <w:t>Total</w:t>
            </w:r>
          </w:p>
        </w:tc>
        <w:tc>
          <w:tcPr>
            <w:tcW w:w="1435" w:type="dxa"/>
            <w:vAlign w:val="center"/>
          </w:tcPr>
          <w:p w:rsidR="00A909B0" w:rsidRDefault="00150912" w:rsidP="00A909B0">
            <w:pPr>
              <w:jc w:val="center"/>
              <w:rPr>
                <w:i/>
              </w:rPr>
            </w:pPr>
            <m:oMathPara>
              <m:oMath>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i1</m:t>
                        </m:r>
                      </m:sub>
                    </m:sSub>
                  </m:e>
                </m:nary>
              </m:oMath>
            </m:oMathPara>
          </w:p>
        </w:tc>
        <w:tc>
          <w:tcPr>
            <w:tcW w:w="1435" w:type="dxa"/>
            <w:vAlign w:val="center"/>
          </w:tcPr>
          <w:p w:rsidR="00A909B0" w:rsidRDefault="00150912" w:rsidP="00A909B0">
            <w:pPr>
              <w:jc w:val="center"/>
              <w:rPr>
                <w:i/>
              </w:rPr>
            </w:pPr>
            <m:oMathPara>
              <m:oMath>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i2</m:t>
                        </m:r>
                      </m:sub>
                    </m:sSub>
                  </m:e>
                </m:nary>
              </m:oMath>
            </m:oMathPara>
          </w:p>
        </w:tc>
        <w:tc>
          <w:tcPr>
            <w:tcW w:w="1435" w:type="dxa"/>
            <w:vAlign w:val="center"/>
          </w:tcPr>
          <w:p w:rsidR="00A909B0" w:rsidRDefault="00150912" w:rsidP="00A909B0">
            <w:pPr>
              <w:jc w:val="center"/>
              <w:rPr>
                <w:i/>
              </w:rPr>
            </w:pPr>
            <m:oMathPara>
              <m:oMath>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i3</m:t>
                        </m:r>
                      </m:sub>
                    </m:sSub>
                  </m:e>
                </m:nary>
              </m:oMath>
            </m:oMathPara>
          </w:p>
        </w:tc>
      </w:tr>
      <w:tr w:rsidR="00A909B0" w:rsidTr="00587127">
        <w:trPr>
          <w:trHeight w:val="458"/>
        </w:trPr>
        <w:tc>
          <w:tcPr>
            <w:tcW w:w="1435" w:type="dxa"/>
            <w:vAlign w:val="center"/>
          </w:tcPr>
          <w:p w:rsidR="00A909B0" w:rsidRPr="00A909B0" w:rsidRDefault="00A909B0" w:rsidP="00A909B0">
            <w:pPr>
              <w:jc w:val="center"/>
            </w:pPr>
            <w:r>
              <w:t>Mean</w:t>
            </w:r>
          </w:p>
        </w:tc>
        <w:tc>
          <w:tcPr>
            <w:tcW w:w="1435" w:type="dxa"/>
            <w:vAlign w:val="center"/>
          </w:tcPr>
          <w:p w:rsidR="00A909B0" w:rsidRDefault="00150912" w:rsidP="00A909B0">
            <w:pPr>
              <w:jc w:val="cente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m:oMathPara>
          </w:p>
        </w:tc>
        <w:tc>
          <w:tcPr>
            <w:tcW w:w="1435" w:type="dxa"/>
            <w:vAlign w:val="center"/>
          </w:tcPr>
          <w:p w:rsidR="00A909B0" w:rsidRDefault="00150912" w:rsidP="00A909B0">
            <w:pPr>
              <w:jc w:val="cente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tc>
        <w:tc>
          <w:tcPr>
            <w:tcW w:w="1435" w:type="dxa"/>
            <w:vAlign w:val="center"/>
          </w:tcPr>
          <w:p w:rsidR="00A909B0" w:rsidRDefault="00150912" w:rsidP="00A909B0">
            <w:pPr>
              <w:jc w:val="cente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r>
      <w:tr w:rsidR="003F6CE3" w:rsidTr="003F6CE3">
        <w:trPr>
          <w:trHeight w:val="1061"/>
        </w:trPr>
        <w:tc>
          <w:tcPr>
            <w:tcW w:w="1435" w:type="dxa"/>
            <w:vAlign w:val="center"/>
          </w:tcPr>
          <w:p w:rsidR="003F6CE3" w:rsidRDefault="003F6CE3" w:rsidP="00A909B0">
            <w:pPr>
              <w:jc w:val="center"/>
            </w:pPr>
            <w:r>
              <w:t>Grand Mean</w:t>
            </w:r>
          </w:p>
        </w:tc>
        <w:tc>
          <w:tcPr>
            <w:tcW w:w="4305" w:type="dxa"/>
            <w:gridSpan w:val="3"/>
            <w:vAlign w:val="center"/>
          </w:tcPr>
          <w:p w:rsidR="003F6CE3" w:rsidRDefault="00150912" w:rsidP="003F6CE3">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e>
                    </m:d>
                  </m:num>
                  <m:den>
                    <m:r>
                      <w:rPr>
                        <w:rFonts w:ascii="Cambria Math" w:hAnsi="Cambria Math"/>
                      </w:rPr>
                      <m:t>3</m:t>
                    </m:r>
                  </m:den>
                </m:f>
              </m:oMath>
            </m:oMathPara>
          </w:p>
          <w:p w:rsidR="003F6CE3" w:rsidRPr="003C3F22" w:rsidRDefault="003F6CE3" w:rsidP="00A909B0">
            <w:pPr>
              <w:jc w:val="center"/>
              <w:rPr>
                <w:rFonts w:ascii="Calibri" w:eastAsia="Calibri" w:hAnsi="Calibri" w:cs="Times New Roman"/>
                <w:i/>
              </w:rPr>
            </w:pPr>
          </w:p>
        </w:tc>
      </w:tr>
    </w:tbl>
    <w:p w:rsidR="00A909B0" w:rsidRDefault="00A909B0"/>
    <w:p w:rsidR="00510FC6" w:rsidRDefault="00855982">
      <w:r>
        <w:t>Between-</w:t>
      </w:r>
      <w:r w:rsidR="00510FC6">
        <w:t>group variability</w:t>
      </w:r>
      <w:r w:rsidR="003315BE">
        <w:t xml:space="preserve"> estimates how much variability there is among the different groups. It</w:t>
      </w:r>
      <w:r w:rsidR="00510FC6">
        <w:t xml:space="preserve"> is measured by </w:t>
      </w:r>
      <w:r w:rsidR="00756B07">
        <w:t xml:space="preserve">calculating the </w:t>
      </w:r>
      <w:r w:rsidR="003315BE">
        <w:t>“</w:t>
      </w:r>
      <w:r w:rsidR="00756B07">
        <w:t>grand mean</w:t>
      </w:r>
      <w:r w:rsidR="003315BE">
        <w:t>”</w:t>
      </w:r>
      <w:r w:rsidR="00756B07">
        <w:t xml:space="preserve">, i.e., the overall mean of all observations across all groups, and </w:t>
      </w:r>
      <w:r w:rsidR="00510FC6">
        <w:t xml:space="preserve">summing the squared differences </w:t>
      </w:r>
      <w:r w:rsidR="00756B07">
        <w:t>betw</w:t>
      </w:r>
      <w:r>
        <w:t>een the grand mean and the mean</w:t>
      </w:r>
      <w:r w:rsidR="00D4677D">
        <w:t>s</w:t>
      </w:r>
      <w:r>
        <w:t xml:space="preserve"> of each individual group (</w:t>
      </w:r>
      <w:r w:rsidR="00756B07">
        <w:t xml:space="preserve">calculated by averaging across group members for each of the </w:t>
      </w:r>
      <w:proofErr w:type="gramStart"/>
      <w:r w:rsidR="00756B07">
        <w:rPr>
          <w:i/>
        </w:rPr>
        <w:t xml:space="preserve">k </w:t>
      </w:r>
      <w:r w:rsidR="00756B07">
        <w:t xml:space="preserve"> groups</w:t>
      </w:r>
      <w:proofErr w:type="gramEnd"/>
      <w:r>
        <w:t>)</w:t>
      </w:r>
      <w:r w:rsidR="00756B07">
        <w:t xml:space="preserve">. </w:t>
      </w:r>
    </w:p>
    <w:p w:rsidR="0082788A" w:rsidRDefault="0082788A" w:rsidP="00952A80">
      <w:pPr>
        <w:jc w:val="center"/>
        <w:rPr>
          <w:rFonts w:eastAsiaTheme="minorEastAsia"/>
        </w:rPr>
      </w:pPr>
      <w:r>
        <w:lastRenderedPageBreak/>
        <w:t xml:space="preserve">Between-group variability = </w:t>
      </w:r>
      <m:oMath>
        <m:nary>
          <m:naryPr>
            <m:chr m:val="∑"/>
            <m:limLoc m:val="undOvr"/>
            <m:supHide m:val="on"/>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p>
    <w:p w:rsidR="00D4677D" w:rsidRDefault="00D4677D" w:rsidP="00952A80">
      <w:pPr>
        <w:spacing w:after="0"/>
        <w:rPr>
          <w:rFonts w:eastAsiaTheme="minorEastAsia"/>
        </w:rPr>
      </w:pPr>
    </w:p>
    <w:p w:rsidR="00952A80" w:rsidRPr="00952A80" w:rsidRDefault="00952A80" w:rsidP="00952A80">
      <w:pPr>
        <w:spacing w:after="0"/>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rPr>
        <w:tab/>
      </w:r>
      <w:r>
        <w:rPr>
          <w:rFonts w:eastAsiaTheme="minorEastAsia"/>
        </w:rPr>
        <w:tab/>
        <w:t xml:space="preserve"> </w:t>
      </w:r>
      <w:r w:rsidR="00486D72">
        <w:rPr>
          <w:rFonts w:eastAsiaTheme="minorEastAsia"/>
          <w:i/>
        </w:rPr>
        <w:t>n</w:t>
      </w:r>
      <w:r>
        <w:rPr>
          <w:rFonts w:eastAsiaTheme="minorEastAsia"/>
          <w:i/>
        </w:rPr>
        <w:t xml:space="preserve"> </w:t>
      </w:r>
      <w:r>
        <w:rPr>
          <w:rFonts w:eastAsiaTheme="minorEastAsia"/>
        </w:rPr>
        <w:t xml:space="preserve">= the number of </w:t>
      </w:r>
      <w:r w:rsidR="00486D72">
        <w:rPr>
          <w:rFonts w:eastAsiaTheme="minorEastAsia"/>
        </w:rPr>
        <w:t>observations in each group</w:t>
      </w:r>
    </w:p>
    <w:p w:rsidR="00952A80" w:rsidRDefault="00952A80" w:rsidP="00952A80">
      <w:pPr>
        <w:spacing w:after="0"/>
        <w:rPr>
          <w:rFonts w:eastAsiaTheme="minorEastAsia"/>
        </w:rPr>
      </w:pPr>
      <w:r>
        <w:rPr>
          <w:rFonts w:eastAsiaTheme="minorEastAsia"/>
        </w:rPr>
        <w:tab/>
      </w:r>
      <w:r>
        <w:rPr>
          <w:rFonts w:eastAsiaTheme="minorEastAsia"/>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oMath>
      <w:r>
        <w:rPr>
          <w:rFonts w:eastAsiaTheme="minorEastAsia"/>
        </w:rPr>
        <w:t xml:space="preserve"> </w:t>
      </w:r>
      <w:proofErr w:type="gramStart"/>
      <w:r>
        <w:rPr>
          <w:rFonts w:eastAsiaTheme="minorEastAsia"/>
        </w:rPr>
        <w:t>the</w:t>
      </w:r>
      <w:proofErr w:type="gramEnd"/>
      <w:r>
        <w:rPr>
          <w:rFonts w:eastAsiaTheme="minorEastAsia"/>
        </w:rPr>
        <w:t xml:space="preserve"> mean of the </w:t>
      </w:r>
      <w:proofErr w:type="spellStart"/>
      <w:r w:rsidR="00855982">
        <w:rPr>
          <w:rFonts w:eastAsiaTheme="minorEastAsia"/>
          <w:i/>
        </w:rPr>
        <w:t>k</w:t>
      </w:r>
      <w:r>
        <w:rPr>
          <w:rFonts w:eastAsiaTheme="minorEastAsia"/>
        </w:rPr>
        <w:t>th</w:t>
      </w:r>
      <w:proofErr w:type="spellEnd"/>
      <w:r>
        <w:rPr>
          <w:rFonts w:eastAsiaTheme="minorEastAsia"/>
        </w:rPr>
        <w:t xml:space="preserve"> </w:t>
      </w:r>
      <w:r w:rsidR="00855982">
        <w:rPr>
          <w:rFonts w:eastAsiaTheme="minorEastAsia"/>
        </w:rPr>
        <w:t>group</w:t>
      </w:r>
    </w:p>
    <w:p w:rsidR="00952A80" w:rsidRDefault="00952A80" w:rsidP="00952A80">
      <w:pPr>
        <w:spacing w:after="0"/>
        <w:rPr>
          <w:rFonts w:eastAsiaTheme="minorEastAsia"/>
        </w:rPr>
      </w:pPr>
      <w:r>
        <w:rPr>
          <w:rFonts w:eastAsiaTheme="minorEastAsia"/>
        </w:rPr>
        <w:tab/>
      </w:r>
      <w:r>
        <w:rPr>
          <w:rFonts w:eastAsiaTheme="minorEastAsia"/>
        </w:rPr>
        <w:tab/>
      </w:r>
      <m:oMath>
        <m:acc>
          <m:accPr>
            <m:chr m:val="̿"/>
            <m:ctrlPr>
              <w:rPr>
                <w:rFonts w:ascii="Cambria Math" w:hAnsi="Cambria Math"/>
                <w:i/>
              </w:rPr>
            </m:ctrlPr>
          </m:accPr>
          <m:e>
            <m:r>
              <w:rPr>
                <w:rFonts w:ascii="Cambria Math" w:hAnsi="Cambria Math"/>
              </w:rPr>
              <m:t>X</m:t>
            </m:r>
          </m:e>
        </m:acc>
      </m:oMath>
      <w:r>
        <w:rPr>
          <w:rFonts w:eastAsiaTheme="minorEastAsia"/>
        </w:rPr>
        <w:t xml:space="preserve"> = the grand mean </w:t>
      </w:r>
    </w:p>
    <w:p w:rsidR="00952A80" w:rsidRDefault="00952A80" w:rsidP="00952A80">
      <w:pPr>
        <w:spacing w:after="0"/>
        <w:rPr>
          <w:rFonts w:eastAsiaTheme="minorEastAsia"/>
        </w:rPr>
      </w:pPr>
      <w:r>
        <w:rPr>
          <w:rFonts w:eastAsiaTheme="minorEastAsia"/>
        </w:rPr>
        <w:tab/>
      </w:r>
      <w:r>
        <w:rPr>
          <w:rFonts w:eastAsiaTheme="minorEastAsia"/>
        </w:rPr>
        <w:tab/>
        <w:t>∑</w:t>
      </w:r>
      <w:r w:rsidR="00855982">
        <w:rPr>
          <w:rFonts w:eastAsiaTheme="minorEastAsia"/>
          <w:i/>
          <w:vertAlign w:val="subscript"/>
        </w:rPr>
        <w:t>k</w:t>
      </w:r>
      <w:r>
        <w:rPr>
          <w:rFonts w:eastAsiaTheme="minorEastAsia"/>
        </w:rPr>
        <w:t xml:space="preserve"> = summation over all </w:t>
      </w:r>
      <w:r w:rsidR="00855982">
        <w:rPr>
          <w:rFonts w:eastAsiaTheme="minorEastAsia"/>
        </w:rPr>
        <w:t>groups</w:t>
      </w:r>
    </w:p>
    <w:p w:rsidR="00952A80" w:rsidRPr="00952A80" w:rsidRDefault="00952A80" w:rsidP="00952A80">
      <w:pPr>
        <w:spacing w:after="0"/>
        <w:rPr>
          <w:rFonts w:eastAsiaTheme="minorEastAsia"/>
        </w:rPr>
      </w:pPr>
    </w:p>
    <w:p w:rsidR="00510FC6" w:rsidRDefault="00952A80">
      <w:r>
        <w:t xml:space="preserve">Within group variability </w:t>
      </w:r>
      <w:r w:rsidR="003315BE">
        <w:t xml:space="preserve">estimates how much variability is contained within each of the groups. It </w:t>
      </w:r>
      <w:r>
        <w:t xml:space="preserve">is measured by summing the squared differences between </w:t>
      </w:r>
      <w:r w:rsidR="00D4677D">
        <w:t xml:space="preserve">each </w:t>
      </w:r>
      <w:r w:rsidR="003315BE">
        <w:t>individual observation</w:t>
      </w:r>
      <w:r>
        <w:t xml:space="preserve"> and the </w:t>
      </w:r>
      <w:r w:rsidR="003315BE">
        <w:t>mean of the group of which it is a member</w:t>
      </w:r>
      <w:r>
        <w:t>.</w:t>
      </w:r>
    </w:p>
    <w:p w:rsidR="00D4677D" w:rsidRDefault="00D4677D"/>
    <w:p w:rsidR="00510FC6" w:rsidRDefault="00350975" w:rsidP="001470E9">
      <w:pPr>
        <w:jc w:val="center"/>
        <w:rPr>
          <w:rFonts w:eastAsiaTheme="minorEastAsia"/>
        </w:rPr>
      </w:pPr>
      <w:r>
        <w:t xml:space="preserve">Within group variability </w:t>
      </w:r>
      <w:r w:rsidR="001470E9">
        <w:t xml:space="preserve">=  </w:t>
      </w:r>
      <m:oMath>
        <m:nary>
          <m:naryPr>
            <m:chr m:val="∑"/>
            <m:limLoc m:val="undOvr"/>
            <m:supHide m:val="on"/>
            <m:ctrlPr>
              <w:rPr>
                <w:rFonts w:ascii="Cambria Math" w:hAnsi="Cambria Math"/>
                <w:i/>
              </w:rPr>
            </m:ctrlPr>
          </m:naryPr>
          <m:sub>
            <m:r>
              <w:rPr>
                <w:rFonts w:ascii="Cambria Math" w:hAnsi="Cambria Math"/>
              </w:rPr>
              <m:t>k</m:t>
            </m:r>
          </m:sub>
          <m:sup/>
          <m:e>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e>
                    </m:d>
                  </m:e>
                  <m:sup>
                    <m:r>
                      <w:rPr>
                        <w:rFonts w:ascii="Cambria Math" w:hAnsi="Cambria Math"/>
                      </w:rPr>
                      <m:t>2</m:t>
                    </m:r>
                  </m:sup>
                </m:sSup>
              </m:e>
            </m:nary>
          </m:e>
        </m:nary>
      </m:oMath>
    </w:p>
    <w:p w:rsidR="001470E9" w:rsidRDefault="001470E9" w:rsidP="001470E9">
      <w:pPr>
        <w:jc w:val="center"/>
        <w:rPr>
          <w:rFonts w:eastAsiaTheme="minorEastAsia"/>
        </w:rPr>
      </w:pPr>
    </w:p>
    <w:p w:rsidR="001470E9" w:rsidRDefault="001470E9" w:rsidP="001470E9">
      <w:pPr>
        <w:rPr>
          <w:rFonts w:eastAsiaTheme="minorEastAsia"/>
        </w:rPr>
      </w:pPr>
      <w:proofErr w:type="gramStart"/>
      <w:r>
        <w:rPr>
          <w:rFonts w:eastAsiaTheme="minorEastAsia"/>
        </w:rPr>
        <w:t>where</w:t>
      </w:r>
      <w:proofErr w:type="gramEnd"/>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oMath>
      <w:r>
        <w:rPr>
          <w:rFonts w:eastAsiaTheme="minorEastAsia"/>
        </w:rPr>
        <w:t xml:space="preserve"> = the value of the </w:t>
      </w:r>
      <w:proofErr w:type="spellStart"/>
      <w:r w:rsidR="003315BE">
        <w:rPr>
          <w:rFonts w:eastAsiaTheme="minorEastAsia"/>
          <w:i/>
        </w:rPr>
        <w:t>i</w:t>
      </w:r>
      <w:r w:rsidR="00855982">
        <w:rPr>
          <w:rFonts w:eastAsiaTheme="minorEastAsia"/>
        </w:rPr>
        <w:t>th</w:t>
      </w:r>
      <w:proofErr w:type="spellEnd"/>
      <w:r w:rsidR="00855982">
        <w:rPr>
          <w:rFonts w:eastAsiaTheme="minorEastAsia"/>
        </w:rPr>
        <w:t xml:space="preserve"> </w:t>
      </w:r>
      <w:r w:rsidRPr="00855982">
        <w:rPr>
          <w:rFonts w:eastAsiaTheme="minorEastAsia"/>
        </w:rPr>
        <w:t>observation</w:t>
      </w:r>
      <w:r>
        <w:rPr>
          <w:rFonts w:eastAsiaTheme="minorEastAsia"/>
        </w:rPr>
        <w:t xml:space="preserve"> in the </w:t>
      </w:r>
      <w:proofErr w:type="spellStart"/>
      <w:r w:rsidR="00855982">
        <w:rPr>
          <w:rFonts w:eastAsiaTheme="minorEastAsia"/>
          <w:i/>
        </w:rPr>
        <w:t>k</w:t>
      </w:r>
      <w:r>
        <w:rPr>
          <w:rFonts w:eastAsiaTheme="minorEastAsia"/>
        </w:rPr>
        <w:t>th</w:t>
      </w:r>
      <w:proofErr w:type="spellEnd"/>
      <w:r>
        <w:rPr>
          <w:rFonts w:eastAsiaTheme="minorEastAsia"/>
        </w:rPr>
        <w:t xml:space="preserve"> column</w:t>
      </w:r>
    </w:p>
    <w:p w:rsidR="001470E9" w:rsidRDefault="001470E9" w:rsidP="001470E9">
      <w:pPr>
        <w:rPr>
          <w:rFonts w:eastAsiaTheme="minorEastAsia"/>
        </w:rPr>
      </w:pPr>
      <w:r>
        <w:rPr>
          <w:rFonts w:eastAsiaTheme="minorEastAsia"/>
        </w:rPr>
        <w:tab/>
      </w:r>
      <w:r>
        <w:rPr>
          <w:rFonts w:eastAsiaTheme="minorEastAsia"/>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 the mean of the </w:t>
      </w:r>
      <w:proofErr w:type="spellStart"/>
      <w:r w:rsidR="00855982">
        <w:rPr>
          <w:rFonts w:eastAsiaTheme="minorEastAsia"/>
          <w:i/>
        </w:rPr>
        <w:t>k</w:t>
      </w:r>
      <w:r>
        <w:rPr>
          <w:rFonts w:eastAsiaTheme="minorEastAsia"/>
        </w:rPr>
        <w:t>th</w:t>
      </w:r>
      <w:proofErr w:type="spellEnd"/>
      <w:r>
        <w:rPr>
          <w:rFonts w:eastAsiaTheme="minorEastAsia"/>
        </w:rPr>
        <w:t xml:space="preserve"> </w:t>
      </w:r>
      <w:r w:rsidR="00855982">
        <w:rPr>
          <w:rFonts w:eastAsiaTheme="minorEastAsia"/>
        </w:rPr>
        <w:t>group</w:t>
      </w:r>
    </w:p>
    <w:p w:rsidR="001470E9" w:rsidRDefault="001470E9" w:rsidP="001470E9">
      <w:pPr>
        <w:rPr>
          <w:rFonts w:eastAsiaTheme="minorEastAsia"/>
        </w:rPr>
      </w:pPr>
      <w:r>
        <w:rPr>
          <w:rFonts w:eastAsiaTheme="minorEastAsia"/>
        </w:rPr>
        <w:tab/>
      </w:r>
      <w:r>
        <w:rPr>
          <w:rFonts w:eastAsiaTheme="minorEastAsia"/>
        </w:rPr>
        <w:tab/>
      </w:r>
      <m:oMath>
        <m:nary>
          <m:naryPr>
            <m:chr m:val="∑"/>
            <m:limLoc m:val="undOvr"/>
            <m:supHide m:val="on"/>
            <m:ctrlPr>
              <w:rPr>
                <w:rFonts w:ascii="Cambria Math" w:eastAsiaTheme="minorEastAsia" w:hAnsi="Cambria Math"/>
                <w:i/>
              </w:rPr>
            </m:ctrlPr>
          </m:naryPr>
          <m:sub>
            <m:r>
              <w:rPr>
                <w:rFonts w:ascii="Cambria Math" w:eastAsiaTheme="minorEastAsia" w:hAnsi="Cambria Math"/>
              </w:rPr>
              <m:t>k</m:t>
            </m:r>
          </m:sub>
          <m:sup/>
          <m:e>
            <m:nary>
              <m:naryPr>
                <m:chr m:val="∑"/>
                <m:limLoc m:val="undOvr"/>
                <m:supHide m:val="on"/>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m:t>
                </m:r>
              </m:e>
            </m:nary>
          </m:e>
        </m:nary>
      </m:oMath>
      <w:r>
        <w:rPr>
          <w:rFonts w:eastAsiaTheme="minorEastAsia"/>
        </w:rPr>
        <w:t xml:space="preserve"> </w:t>
      </w:r>
      <w:proofErr w:type="gramStart"/>
      <w:r>
        <w:rPr>
          <w:rFonts w:eastAsiaTheme="minorEastAsia"/>
        </w:rPr>
        <w:t>the</w:t>
      </w:r>
      <w:proofErr w:type="gramEnd"/>
      <w:r>
        <w:rPr>
          <w:rFonts w:eastAsiaTheme="minorEastAsia"/>
        </w:rPr>
        <w:t xml:space="preserve"> squared deviations are first summed over all sample observations within a </w:t>
      </w:r>
      <w:r>
        <w:rPr>
          <w:rFonts w:eastAsiaTheme="minorEastAsia"/>
        </w:rPr>
        <w:tab/>
      </w:r>
      <w:r>
        <w:rPr>
          <w:rFonts w:eastAsiaTheme="minorEastAsia"/>
        </w:rPr>
        <w:tab/>
      </w:r>
      <w:r>
        <w:rPr>
          <w:rFonts w:eastAsiaTheme="minorEastAsia"/>
        </w:rPr>
        <w:tab/>
        <w:t xml:space="preserve">given </w:t>
      </w:r>
      <w:r w:rsidR="00855982">
        <w:rPr>
          <w:rFonts w:eastAsiaTheme="minorEastAsia"/>
        </w:rPr>
        <w:t>group</w:t>
      </w:r>
      <w:r>
        <w:rPr>
          <w:rFonts w:eastAsiaTheme="minorEastAsia"/>
        </w:rPr>
        <w:t xml:space="preserve">, then summed over all </w:t>
      </w:r>
      <w:r w:rsidR="00855982">
        <w:rPr>
          <w:rFonts w:eastAsiaTheme="minorEastAsia"/>
        </w:rPr>
        <w:t>groups</w:t>
      </w:r>
    </w:p>
    <w:p w:rsidR="00587127" w:rsidRPr="001470E9" w:rsidRDefault="00587127" w:rsidP="00587127">
      <w:pPr>
        <w:jc w:val="both"/>
        <w:rPr>
          <w:rFonts w:eastAsiaTheme="minorEastAsia"/>
        </w:rPr>
      </w:pPr>
      <w:r>
        <w:rPr>
          <w:rFonts w:eastAsiaTheme="minorEastAsia"/>
        </w:rPr>
        <w:t>The between-group variability and the within-group variability are the two components of total variability, which is calculated by adding the squared deviations of all the individual observations from the grand mean</w:t>
      </w:r>
      <w:proofErr w:type="gramStart"/>
      <w:r w:rsidR="0024661F">
        <w:rPr>
          <w:rFonts w:eastAsiaTheme="minorEastAsia"/>
        </w:rPr>
        <w:t xml:space="preserve">, </w:t>
      </w:r>
      <w:r>
        <w:rPr>
          <w:rFonts w:eastAsiaTheme="minorEastAsia"/>
        </w:rPr>
        <w:t xml:space="preserve"> </w:t>
      </w:r>
      <m:oMath>
        <w:proofErr w:type="gramEnd"/>
        <m:acc>
          <m:accPr>
            <m:chr m:val="̿"/>
            <m:ctrlPr>
              <w:rPr>
                <w:rFonts w:ascii="Cambria Math" w:hAnsi="Cambria Math"/>
                <w:i/>
              </w:rPr>
            </m:ctrlPr>
          </m:accPr>
          <m:e>
            <m:r>
              <w:rPr>
                <w:rFonts w:ascii="Cambria Math" w:hAnsi="Cambria Math"/>
              </w:rPr>
              <m:t>X</m:t>
            </m:r>
          </m:e>
        </m:acc>
      </m:oMath>
      <w:r>
        <w:rPr>
          <w:rFonts w:eastAsiaTheme="minorEastAsia"/>
        </w:rPr>
        <w:t>.</w:t>
      </w:r>
    </w:p>
    <w:p w:rsidR="001470E9" w:rsidRPr="001470E9" w:rsidRDefault="00587127" w:rsidP="00587127">
      <w:pPr>
        <w:jc w:val="center"/>
      </w:pPr>
      <w:r>
        <w:t xml:space="preserve">Total variability = </w:t>
      </w:r>
      <m:oMath>
        <m:nary>
          <m:naryPr>
            <m:chr m:val="∑"/>
            <m:limLoc m:val="undOvr"/>
            <m:supHide m:val="on"/>
            <m:ctrlPr>
              <w:rPr>
                <w:rFonts w:ascii="Cambria Math" w:hAnsi="Cambria Math"/>
                <w:i/>
              </w:rPr>
            </m:ctrlPr>
          </m:naryPr>
          <m:sub>
            <m:r>
              <w:rPr>
                <w:rFonts w:ascii="Cambria Math" w:hAnsi="Cambria Math"/>
              </w:rPr>
              <m:t>k</m:t>
            </m:r>
          </m:sub>
          <m:sup/>
          <m:e>
            <m:nary>
              <m:naryPr>
                <m:chr m:val="∑"/>
                <m:limLoc m:val="subSup"/>
                <m:supHide m:val="on"/>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m:rPr>
                            <m:sty m:val="p"/>
                          </m:rPr>
                          <w:rPr>
                            <w:rFonts w:ascii="Cambria Math" w:eastAsiaTheme="minorEastAsia" w:hAnsi="Cambria Math"/>
                          </w:rPr>
                          <m:t xml:space="preserve"> </m:t>
                        </m:r>
                      </m:e>
                    </m:d>
                  </m:e>
                  <m:sup>
                    <m:r>
                      <w:rPr>
                        <w:rFonts w:ascii="Cambria Math" w:hAnsi="Cambria Math"/>
                      </w:rPr>
                      <m:t>2</m:t>
                    </m:r>
                  </m:sup>
                </m:sSup>
              </m:e>
            </m:nary>
          </m:e>
        </m:nary>
      </m:oMath>
    </w:p>
    <w:p w:rsidR="00175583" w:rsidRPr="0018658C" w:rsidRDefault="00175583" w:rsidP="00486D72">
      <w:pPr>
        <w:spacing w:before="240" w:after="0"/>
        <w:rPr>
          <w:b/>
          <w:sz w:val="24"/>
          <w:szCs w:val="24"/>
        </w:rPr>
      </w:pPr>
      <w:r w:rsidRPr="0018658C">
        <w:rPr>
          <w:b/>
          <w:sz w:val="24"/>
          <w:szCs w:val="24"/>
        </w:rPr>
        <w:t>Degrees of Freedom</w:t>
      </w:r>
    </w:p>
    <w:p w:rsidR="00486D72" w:rsidRPr="00486D72" w:rsidRDefault="00724A56" w:rsidP="00486D72">
      <w:pPr>
        <w:spacing w:before="240" w:after="0"/>
      </w:pPr>
      <w:r>
        <w:t>The next step is to determine degrees of freedom (</w:t>
      </w:r>
      <w:proofErr w:type="spellStart"/>
      <w:proofErr w:type="gramStart"/>
      <w:r>
        <w:rPr>
          <w:i/>
        </w:rPr>
        <w:t>df</w:t>
      </w:r>
      <w:proofErr w:type="spellEnd"/>
      <w:proofErr w:type="gramEnd"/>
      <w:r>
        <w:t>) for the sums of squares</w:t>
      </w:r>
      <w:r w:rsidR="003315BE">
        <w:t xml:space="preserve"> calculated for the between-group and within-group variability. Adjusting the sums of square by their </w:t>
      </w:r>
      <w:proofErr w:type="spellStart"/>
      <w:proofErr w:type="gramStart"/>
      <w:r w:rsidR="003315BE" w:rsidRPr="003315BE">
        <w:rPr>
          <w:i/>
        </w:rPr>
        <w:t>df</w:t>
      </w:r>
      <w:proofErr w:type="spellEnd"/>
      <w:proofErr w:type="gramEnd"/>
      <w:r w:rsidR="003315BE">
        <w:t xml:space="preserve"> will yield</w:t>
      </w:r>
      <w:r>
        <w:t xml:space="preserve"> the mean squares necessary to calculate a test statistic</w:t>
      </w:r>
      <w:r w:rsidR="00D07A3F">
        <w:rPr>
          <w:rFonts w:eastAsiaTheme="minorEastAsia"/>
        </w:rPr>
        <w:t xml:space="preserve">. The number of </w:t>
      </w:r>
      <w:proofErr w:type="spellStart"/>
      <w:proofErr w:type="gramStart"/>
      <w:r w:rsidR="003315BE">
        <w:rPr>
          <w:rFonts w:eastAsiaTheme="minorEastAsia"/>
          <w:i/>
        </w:rPr>
        <w:t>df</w:t>
      </w:r>
      <w:proofErr w:type="spellEnd"/>
      <w:proofErr w:type="gramEnd"/>
      <w:r w:rsidR="003315BE">
        <w:rPr>
          <w:rFonts w:eastAsiaTheme="minorEastAsia"/>
          <w:i/>
        </w:rPr>
        <w:t xml:space="preserve"> </w:t>
      </w:r>
      <w:r w:rsidR="00D07A3F">
        <w:rPr>
          <w:rFonts w:eastAsiaTheme="minorEastAsia"/>
        </w:rPr>
        <w:t xml:space="preserve">(between) is </w:t>
      </w:r>
      <w:r>
        <w:rPr>
          <w:rFonts w:eastAsiaTheme="minorEastAsia"/>
          <w:i/>
        </w:rPr>
        <w:t>k</w:t>
      </w:r>
      <w:r w:rsidR="00D07A3F">
        <w:rPr>
          <w:rFonts w:eastAsiaTheme="minorEastAsia"/>
          <w:i/>
        </w:rPr>
        <w:t xml:space="preserve"> </w:t>
      </w:r>
      <w:r w:rsidR="00D07A3F">
        <w:rPr>
          <w:rFonts w:eastAsiaTheme="minorEastAsia"/>
        </w:rPr>
        <w:t xml:space="preserve">– 1, where </w:t>
      </w:r>
      <w:r>
        <w:rPr>
          <w:rFonts w:eastAsiaTheme="minorEastAsia"/>
          <w:i/>
        </w:rPr>
        <w:t>k</w:t>
      </w:r>
      <w:r w:rsidR="00D07A3F">
        <w:rPr>
          <w:rFonts w:eastAsiaTheme="minorEastAsia"/>
        </w:rPr>
        <w:t xml:space="preserve"> is the number of groups being compared (one degree of freedom is lost when the grand mean is calculated). For the within-group variability, there are</w:t>
      </w:r>
      <w:r>
        <w:rPr>
          <w:rFonts w:eastAsiaTheme="minorEastAsia"/>
        </w:rPr>
        <w:t xml:space="preserve"> </w:t>
      </w:r>
      <w:r>
        <w:rPr>
          <w:rFonts w:eastAsiaTheme="minorEastAsia"/>
          <w:i/>
        </w:rPr>
        <w:t xml:space="preserve">n*k </w:t>
      </w:r>
      <w:proofErr w:type="spellStart"/>
      <w:r>
        <w:rPr>
          <w:rFonts w:eastAsiaTheme="minorEastAsia"/>
        </w:rPr>
        <w:t>datapoints</w:t>
      </w:r>
      <w:proofErr w:type="spellEnd"/>
      <w:r>
        <w:rPr>
          <w:rFonts w:eastAsiaTheme="minorEastAsia"/>
        </w:rPr>
        <w:t xml:space="preserve">: </w:t>
      </w:r>
      <w:r>
        <w:rPr>
          <w:rFonts w:eastAsiaTheme="minorEastAsia"/>
          <w:i/>
        </w:rPr>
        <w:t>k</w:t>
      </w:r>
      <w:r>
        <w:rPr>
          <w:rFonts w:eastAsiaTheme="minorEastAsia"/>
        </w:rPr>
        <w:t xml:space="preserve"> groups with </w:t>
      </w:r>
      <w:r>
        <w:rPr>
          <w:rFonts w:eastAsiaTheme="minorEastAsia"/>
          <w:i/>
        </w:rPr>
        <w:t>n</w:t>
      </w:r>
      <w:r>
        <w:rPr>
          <w:rFonts w:eastAsiaTheme="minorEastAsia"/>
        </w:rPr>
        <w:t xml:space="preserve"> subjects in each. One </w:t>
      </w:r>
      <w:proofErr w:type="spellStart"/>
      <w:proofErr w:type="gramStart"/>
      <w:r>
        <w:rPr>
          <w:rFonts w:eastAsiaTheme="minorEastAsia"/>
          <w:i/>
        </w:rPr>
        <w:t>df</w:t>
      </w:r>
      <w:proofErr w:type="spellEnd"/>
      <w:proofErr w:type="gramEnd"/>
      <w:r>
        <w:rPr>
          <w:rFonts w:eastAsiaTheme="minorEastAsia"/>
        </w:rPr>
        <w:t xml:space="preserve"> is lost for each group mean, </w:t>
      </w:r>
      <w:r>
        <w:rPr>
          <w:rFonts w:eastAsiaTheme="minorEastAsia"/>
          <w:i/>
        </w:rPr>
        <w:t>k</w:t>
      </w:r>
      <w:r>
        <w:rPr>
          <w:rFonts w:eastAsiaTheme="minorEastAsia"/>
        </w:rPr>
        <w:t xml:space="preserve"> in all. The </w:t>
      </w:r>
      <w:proofErr w:type="spellStart"/>
      <w:r>
        <w:rPr>
          <w:rFonts w:eastAsiaTheme="minorEastAsia"/>
          <w:i/>
        </w:rPr>
        <w:t>df</w:t>
      </w:r>
      <w:proofErr w:type="spellEnd"/>
      <w:r>
        <w:rPr>
          <w:rFonts w:eastAsiaTheme="minorEastAsia"/>
        </w:rPr>
        <w:t xml:space="preserve"> is therefore </w:t>
      </w:r>
      <w:proofErr w:type="spellStart"/>
      <w:r>
        <w:rPr>
          <w:rFonts w:eastAsiaTheme="minorEastAsia"/>
          <w:i/>
        </w:rPr>
        <w:t>nk</w:t>
      </w:r>
      <w:proofErr w:type="spellEnd"/>
      <w:r>
        <w:rPr>
          <w:rFonts w:eastAsiaTheme="minorEastAsia"/>
        </w:rPr>
        <w:t xml:space="preserve"> – </w:t>
      </w:r>
      <w:r>
        <w:rPr>
          <w:rFonts w:eastAsiaTheme="minorEastAsia"/>
          <w:i/>
        </w:rPr>
        <w:t xml:space="preserve">k </w:t>
      </w:r>
      <w:r>
        <w:rPr>
          <w:rFonts w:eastAsiaTheme="minorEastAsia"/>
        </w:rPr>
        <w:t xml:space="preserve">(or, </w:t>
      </w:r>
      <w:proofErr w:type="gramStart"/>
      <w:r>
        <w:rPr>
          <w:rFonts w:eastAsiaTheme="minorEastAsia"/>
          <w:i/>
        </w:rPr>
        <w:t>k</w:t>
      </w:r>
      <w:r>
        <w:rPr>
          <w:rFonts w:eastAsiaTheme="minorEastAsia"/>
        </w:rPr>
        <w:t>(</w:t>
      </w:r>
      <w:proofErr w:type="gramEnd"/>
      <w:r>
        <w:rPr>
          <w:rFonts w:eastAsiaTheme="minorEastAsia"/>
          <w:i/>
        </w:rPr>
        <w:t xml:space="preserve">n – </w:t>
      </w:r>
      <w:r>
        <w:rPr>
          <w:rFonts w:eastAsiaTheme="minorEastAsia"/>
        </w:rPr>
        <w:t xml:space="preserve">1)). Dividing each sum of squares by its </w:t>
      </w:r>
      <w:proofErr w:type="spellStart"/>
      <w:proofErr w:type="gramStart"/>
      <w:r w:rsidR="003315BE">
        <w:rPr>
          <w:rFonts w:eastAsiaTheme="minorEastAsia"/>
          <w:i/>
        </w:rPr>
        <w:t>df</w:t>
      </w:r>
      <w:proofErr w:type="spellEnd"/>
      <w:proofErr w:type="gramEnd"/>
      <w:r>
        <w:rPr>
          <w:rFonts w:eastAsiaTheme="minorEastAsia"/>
        </w:rPr>
        <w:t xml:space="preserve"> yields two mean squares, the comparison of which yields the </w:t>
      </w:r>
      <w:r>
        <w:rPr>
          <w:rFonts w:eastAsiaTheme="minorEastAsia"/>
          <w:i/>
        </w:rPr>
        <w:t>F</w:t>
      </w:r>
      <w:r>
        <w:rPr>
          <w:rFonts w:eastAsiaTheme="minorEastAsia"/>
        </w:rPr>
        <w:t xml:space="preserve"> ratio, which functions as the test statistic:</w:t>
      </w:r>
    </w:p>
    <w:p w:rsidR="00486D72" w:rsidRPr="00486D72" w:rsidRDefault="00486D72" w:rsidP="00486D72">
      <w:pPr>
        <w:rPr>
          <w:rFonts w:eastAsiaTheme="minorEastAsia" w:hAnsi="Cambria Math"/>
        </w:rPr>
      </w:pPr>
      <w:r>
        <w:rPr>
          <w:rFonts w:ascii="Cambria Math"/>
          <w:sz w:val="32"/>
          <w:szCs w:val="32"/>
        </w:rPr>
        <w:br/>
      </w:r>
      <m:oMathPara>
        <m:oMath>
          <m:r>
            <w:rPr>
              <w:rFonts w:ascii="Cambria Math" w:hAnsi="Cambria Math"/>
              <w:szCs w:val="32"/>
            </w:rPr>
            <m:t>F</m:t>
          </m:r>
          <m:r>
            <w:rPr>
              <w:rFonts w:ascii="Cambria Math" w:hAnsi="Cambria Math"/>
            </w:rPr>
            <m:t xml:space="preserve">  =</m:t>
          </m:r>
          <m:f>
            <m:fPr>
              <m:ctrlPr>
                <w:rPr>
                  <w:rFonts w:ascii="Cambria Math" w:hAnsi="Cambria Math"/>
                  <w:i/>
                  <w:szCs w:val="32"/>
                </w:rPr>
              </m:ctrlPr>
            </m:fPr>
            <m:num>
              <m:r>
                <w:rPr>
                  <w:rFonts w:ascii="Cambria Math" w:hAnsi="Cambria Math"/>
                  <w:szCs w:val="32"/>
                </w:rPr>
                <m:t>Mean square (between)</m:t>
              </m:r>
            </m:num>
            <m:den>
              <m:r>
                <w:rPr>
                  <w:rFonts w:ascii="Cambria Math" w:hAnsi="Cambria Math"/>
                  <w:szCs w:val="32"/>
                </w:rPr>
                <m:t>Mean square (within)</m:t>
              </m:r>
            </m:den>
          </m:f>
        </m:oMath>
      </m:oMathPara>
    </w:p>
    <w:p w:rsidR="00724A56" w:rsidRDefault="00724A56" w:rsidP="00D07A3F">
      <w:pPr>
        <w:rPr>
          <w:rFonts w:eastAsiaTheme="minorEastAsia"/>
        </w:rPr>
      </w:pPr>
    </w:p>
    <w:p w:rsidR="00724A56" w:rsidRDefault="00486D72" w:rsidP="00724A56">
      <w:proofErr w:type="gramStart"/>
      <w:r>
        <w:t>where</w:t>
      </w:r>
      <w:proofErr w:type="gramEnd"/>
      <w:r>
        <w:t xml:space="preserve"> mean square (between) =</w:t>
      </w:r>
      <w:r w:rsidR="004E4697">
        <w:t xml:space="preserve">  </w:t>
      </w:r>
      <w:r>
        <w:t xml:space="preserve"> </w:t>
      </w:r>
      <m:oMath>
        <m:f>
          <m:fPr>
            <m:ctrlPr>
              <w:rPr>
                <w:rFonts w:ascii="Cambria Math" w:hAnsi="Cambria Math"/>
                <w:i/>
                <w:sz w:val="32"/>
              </w:rPr>
            </m:ctrlPr>
          </m:fPr>
          <m:num>
            <m:nary>
              <m:naryPr>
                <m:chr m:val="∑"/>
                <m:limLoc m:val="undOvr"/>
                <m:supHide m:val="on"/>
                <m:ctrlPr>
                  <w:rPr>
                    <w:rFonts w:ascii="Cambria Math" w:hAnsi="Cambria Math"/>
                    <w:i/>
                    <w:sz w:val="32"/>
                  </w:rPr>
                </m:ctrlPr>
              </m:naryPr>
              <m:sub>
                <m:r>
                  <w:rPr>
                    <w:rFonts w:ascii="Cambria Math" w:hAnsi="Cambria Math"/>
                    <w:sz w:val="32"/>
                  </w:rPr>
                  <m:t>k</m:t>
                </m:r>
              </m:sub>
              <m:sup/>
              <m:e>
                <m:sSup>
                  <m:sSupPr>
                    <m:ctrlPr>
                      <w:rPr>
                        <w:rFonts w:ascii="Cambria Math" w:hAnsi="Cambria Math"/>
                        <w:i/>
                        <w:sz w:val="32"/>
                      </w:rPr>
                    </m:ctrlPr>
                  </m:sSupPr>
                  <m:e>
                    <m:r>
                      <w:rPr>
                        <w:rFonts w:ascii="Cambria Math" w:hAnsi="Cambria Math"/>
                        <w:sz w:val="32"/>
                      </w:rPr>
                      <m:t xml:space="preserve"> n</m:t>
                    </m:r>
                    <m:d>
                      <m:dPr>
                        <m:ctrlPr>
                          <w:rPr>
                            <w:rFonts w:ascii="Cambria Math" w:hAnsi="Cambria Math"/>
                            <w:i/>
                            <w:sz w:val="32"/>
                          </w:rPr>
                        </m:ctrlPr>
                      </m:dPr>
                      <m:e>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.k</m:t>
                            </m:r>
                          </m:sub>
                        </m:sSub>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X</m:t>
                            </m:r>
                          </m:e>
                        </m:acc>
                      </m:e>
                    </m:d>
                  </m:e>
                  <m:sup>
                    <m:r>
                      <w:rPr>
                        <w:rFonts w:ascii="Cambria Math" w:hAnsi="Cambria Math"/>
                        <w:sz w:val="32"/>
                      </w:rPr>
                      <m:t>2</m:t>
                    </m:r>
                  </m:sup>
                </m:sSup>
              </m:e>
            </m:nary>
          </m:num>
          <m:den>
            <m:r>
              <w:rPr>
                <w:rFonts w:ascii="Cambria Math" w:hAnsi="Cambria Math"/>
                <w:sz w:val="32"/>
              </w:rPr>
              <m:t>k-1</m:t>
            </m:r>
          </m:den>
        </m:f>
      </m:oMath>
      <w:r>
        <w:rPr>
          <w:rFonts w:eastAsiaTheme="minorEastAsia"/>
          <w:sz w:val="28"/>
        </w:rPr>
        <w:t xml:space="preserve"> </w:t>
      </w:r>
      <w:r w:rsidR="004E4697">
        <w:rPr>
          <w:rFonts w:eastAsiaTheme="minorEastAsia"/>
          <w:sz w:val="28"/>
        </w:rPr>
        <w:t xml:space="preserve"> </w:t>
      </w:r>
      <w:r w:rsidRPr="00486D72">
        <w:rPr>
          <w:rFonts w:eastAsiaTheme="minorEastAsia"/>
        </w:rPr>
        <w:t>and</w:t>
      </w:r>
    </w:p>
    <w:p w:rsidR="00724A56" w:rsidRDefault="00486D72" w:rsidP="00D07A3F">
      <w:pPr>
        <w:rPr>
          <w:rFonts w:eastAsiaTheme="minorEastAsia"/>
        </w:rPr>
      </w:pPr>
      <w:proofErr w:type="gramStart"/>
      <w:r>
        <w:rPr>
          <w:rFonts w:eastAsiaTheme="minorEastAsia"/>
        </w:rPr>
        <w:t>mean</w:t>
      </w:r>
      <w:proofErr w:type="gramEnd"/>
      <w:r>
        <w:rPr>
          <w:rFonts w:eastAsiaTheme="minorEastAsia"/>
        </w:rPr>
        <w:t xml:space="preserve"> square (within)</w:t>
      </w:r>
      <m:oMath>
        <m:r>
          <w:rPr>
            <w:rFonts w:ascii="Cambria Math" w:eastAsiaTheme="minorEastAsia" w:hAnsi="Cambria Math"/>
            <w:sz w:val="32"/>
          </w:rPr>
          <m:t xml:space="preserve"> = </m:t>
        </m:r>
        <m:r>
          <w:rPr>
            <w:rFonts w:ascii="Cambria Math" w:hAnsi="Cambria Math"/>
            <w:sz w:val="32"/>
          </w:rPr>
          <m:t xml:space="preserve"> </m:t>
        </m:r>
        <m:f>
          <m:fPr>
            <m:ctrlPr>
              <w:rPr>
                <w:rFonts w:ascii="Cambria Math" w:hAnsi="Cambria Math"/>
                <w:i/>
                <w:sz w:val="32"/>
              </w:rPr>
            </m:ctrlPr>
          </m:fPr>
          <m:num>
            <m:nary>
              <m:naryPr>
                <m:chr m:val="∑"/>
                <m:limLoc m:val="undOvr"/>
                <m:supHide m:val="on"/>
                <m:ctrlPr>
                  <w:rPr>
                    <w:rFonts w:ascii="Cambria Math" w:hAnsi="Cambria Math"/>
                    <w:i/>
                    <w:sz w:val="32"/>
                  </w:rPr>
                </m:ctrlPr>
              </m:naryPr>
              <m:sub>
                <m:r>
                  <w:rPr>
                    <w:rFonts w:ascii="Cambria Math" w:hAnsi="Cambria Math"/>
                    <w:sz w:val="32"/>
                  </w:rPr>
                  <m:t>k</m:t>
                </m:r>
              </m:sub>
              <m:sup/>
              <m:e>
                <m:nary>
                  <m:naryPr>
                    <m:chr m:val="∑"/>
                    <m:limLoc m:val="subSup"/>
                    <m:supHide m:val="on"/>
                    <m:ctrlPr>
                      <w:rPr>
                        <w:rFonts w:ascii="Cambria Math" w:hAnsi="Cambria Math"/>
                        <w:i/>
                        <w:sz w:val="32"/>
                      </w:rPr>
                    </m:ctrlPr>
                  </m:naryPr>
                  <m:sub>
                    <m:r>
                      <w:rPr>
                        <w:rFonts w:ascii="Cambria Math" w:hAnsi="Cambria Math"/>
                        <w:sz w:val="32"/>
                      </w:rPr>
                      <m:t>i</m:t>
                    </m:r>
                  </m:sub>
                  <m:sup/>
                  <m:e>
                    <m:sSup>
                      <m:sSupPr>
                        <m:ctrlPr>
                          <w:rPr>
                            <w:rFonts w:ascii="Cambria Math" w:hAnsi="Cambria Math"/>
                            <w:i/>
                            <w:sz w:val="32"/>
                          </w:rPr>
                        </m:ctrlPr>
                      </m:sSupPr>
                      <m:e>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X</m:t>
                                </m:r>
                              </m:e>
                              <m:sub>
                                <m:r>
                                  <w:rPr>
                                    <w:rFonts w:ascii="Cambria Math" w:hAnsi="Cambria Math"/>
                                    <w:sz w:val="32"/>
                                  </w:rPr>
                                  <m:t>ik</m:t>
                                </m:r>
                              </m:sub>
                            </m:sSub>
                            <m:r>
                              <w:rPr>
                                <w:rFonts w:ascii="Cambria Math" w:hAnsi="Cambria Math"/>
                                <w:sz w:val="32"/>
                              </w:rPr>
                              <m:t>-</m:t>
                            </m:r>
                            <m:sSub>
                              <m:sSubPr>
                                <m:ctrlPr>
                                  <w:rPr>
                                    <w:rFonts w:ascii="Cambria Math" w:hAnsi="Cambria Math"/>
                                    <w:i/>
                                    <w:sz w:val="32"/>
                                  </w:rPr>
                                </m:ctrlPr>
                              </m:sSubPr>
                              <m:e>
                                <m:acc>
                                  <m:accPr>
                                    <m:chr m:val="̅"/>
                                    <m:ctrlPr>
                                      <w:rPr>
                                        <w:rFonts w:ascii="Cambria Math" w:hAnsi="Cambria Math"/>
                                        <w:i/>
                                        <w:sz w:val="32"/>
                                      </w:rPr>
                                    </m:ctrlPr>
                                  </m:accPr>
                                  <m:e>
                                    <m:r>
                                      <w:rPr>
                                        <w:rFonts w:ascii="Cambria Math" w:hAnsi="Cambria Math"/>
                                        <w:sz w:val="32"/>
                                      </w:rPr>
                                      <m:t>X</m:t>
                                    </m:r>
                                  </m:e>
                                </m:acc>
                              </m:e>
                              <m:sub>
                                <m:r>
                                  <w:rPr>
                                    <w:rFonts w:ascii="Cambria Math" w:hAnsi="Cambria Math"/>
                                    <w:sz w:val="32"/>
                                  </w:rPr>
                                  <m:t>.k</m:t>
                                </m:r>
                              </m:sub>
                            </m:sSub>
                            <m:r>
                              <w:rPr>
                                <w:rFonts w:ascii="Cambria Math" w:hAnsi="Cambria Math"/>
                                <w:sz w:val="32"/>
                              </w:rPr>
                              <m:t xml:space="preserve"> </m:t>
                            </m:r>
                          </m:e>
                        </m:d>
                      </m:e>
                      <m:sup>
                        <m:r>
                          <w:rPr>
                            <w:rFonts w:ascii="Cambria Math" w:hAnsi="Cambria Math"/>
                            <w:sz w:val="32"/>
                          </w:rPr>
                          <m:t>2</m:t>
                        </m:r>
                      </m:sup>
                    </m:sSup>
                  </m:e>
                </m:nary>
              </m:e>
            </m:nary>
          </m:num>
          <m:den>
            <m:r>
              <w:rPr>
                <w:rFonts w:ascii="Cambria Math" w:hAnsi="Cambria Math"/>
                <w:sz w:val="32"/>
              </w:rPr>
              <m:t>nk-k</m:t>
            </m:r>
          </m:den>
        </m:f>
      </m:oMath>
      <w:r w:rsidR="004E4697">
        <w:rPr>
          <w:rFonts w:eastAsiaTheme="minorEastAsia"/>
          <w:sz w:val="32"/>
        </w:rPr>
        <w:t>.</w:t>
      </w:r>
    </w:p>
    <w:p w:rsidR="001F002E" w:rsidRDefault="00285AEE">
      <w:r>
        <w:t>Under the null hypothesis that the group means are the same, the between-group variance will be similar to the within-group variance</w:t>
      </w:r>
      <w:r w:rsidR="00B823A4">
        <w:t xml:space="preserve"> and </w:t>
      </w:r>
      <w:r w:rsidR="00B823A4">
        <w:rPr>
          <w:i/>
        </w:rPr>
        <w:t>F</w:t>
      </w:r>
      <w:r w:rsidR="00B823A4">
        <w:t xml:space="preserve"> will approximate 1. Since within-group variability is assumed to be variability that cannot be controlled by the researcher</w:t>
      </w:r>
      <w:r w:rsidR="00E4298E">
        <w:t xml:space="preserve"> (or, the unexplained variability)</w:t>
      </w:r>
      <w:r w:rsidR="00B823A4">
        <w:t xml:space="preserve">, if the </w:t>
      </w:r>
      <w:r w:rsidR="00B823A4">
        <w:rPr>
          <w:i/>
        </w:rPr>
        <w:t>k</w:t>
      </w:r>
      <w:r w:rsidR="00B823A4">
        <w:t xml:space="preserve"> samples are drawn from the same population, the amount of variability </w:t>
      </w:r>
      <w:r w:rsidR="0063366E">
        <w:t>among</w:t>
      </w:r>
      <w:r w:rsidR="00B823A4">
        <w:t xml:space="preserve"> the sample means will be approximately the same as the amount of variability within any one sample.</w:t>
      </w:r>
      <w:r>
        <w:t xml:space="preserve"> </w:t>
      </w:r>
      <w:r w:rsidR="00B823A4">
        <w:t>When the between-group variability is larger</w:t>
      </w:r>
      <w:r w:rsidR="0063366E">
        <w:t xml:space="preserve"> than the within-group variability</w:t>
      </w:r>
      <w:r w:rsidR="00B823A4">
        <w:t xml:space="preserve">, </w:t>
      </w:r>
      <w:r w:rsidR="00B823A4">
        <w:rPr>
          <w:i/>
        </w:rPr>
        <w:t>F</w:t>
      </w:r>
      <w:r w:rsidR="00B823A4">
        <w:t xml:space="preserve"> will be &gt; 1, implying that something in addition to chance factors is contributing to the amount of variability between the sample means. </w:t>
      </w:r>
    </w:p>
    <w:p w:rsidR="001E0742" w:rsidRDefault="005F75CD">
      <w:r>
        <w:rPr>
          <w:b/>
        </w:rPr>
        <w:t xml:space="preserve">EXAMPLE: </w:t>
      </w:r>
      <w:r>
        <w:t xml:space="preserve">We wish to test whether </w:t>
      </w:r>
      <w:r w:rsidR="007025D5">
        <w:t xml:space="preserve">three different anti-hypertension medications differ in effectiveness at controlling blood pressure. </w:t>
      </w:r>
    </w:p>
    <w:p w:rsidR="007025D5" w:rsidRDefault="007025D5">
      <w:r w:rsidRPr="007025D5">
        <w:rPr>
          <w:u w:val="single"/>
        </w:rPr>
        <w:t>Null hypothesis</w:t>
      </w:r>
      <w:r>
        <w:t>:</w:t>
      </w:r>
      <w:r>
        <w:tab/>
      </w:r>
      <w:r>
        <w:tab/>
        <w:t xml:space="preserve"> µ</w:t>
      </w:r>
      <w:r>
        <w:rPr>
          <w:vertAlign w:val="subscript"/>
        </w:rPr>
        <w:t xml:space="preserve">1 </w:t>
      </w:r>
      <w:r>
        <w:t>= µ</w:t>
      </w:r>
      <w:r>
        <w:rPr>
          <w:vertAlign w:val="subscript"/>
        </w:rPr>
        <w:t xml:space="preserve">2 </w:t>
      </w:r>
      <w:r>
        <w:t>= µ</w:t>
      </w:r>
      <w:r>
        <w:rPr>
          <w:vertAlign w:val="subscript"/>
        </w:rPr>
        <w:t xml:space="preserve">3 </w:t>
      </w:r>
      <w:r>
        <w:t>(all three medications have the same effect)</w:t>
      </w:r>
    </w:p>
    <w:p w:rsidR="007025D5" w:rsidRDefault="007025D5">
      <w:r w:rsidRPr="007025D5">
        <w:rPr>
          <w:u w:val="single"/>
        </w:rPr>
        <w:t>Alternative hypothesis</w:t>
      </w:r>
      <w:r>
        <w:t xml:space="preserve">: </w:t>
      </w:r>
      <w:r>
        <w:tab/>
        <w:t>The means µ</w:t>
      </w:r>
      <w:proofErr w:type="gramStart"/>
      <w:r>
        <w:rPr>
          <w:vertAlign w:val="subscript"/>
        </w:rPr>
        <w:t xml:space="preserve">1 </w:t>
      </w:r>
      <w:r>
        <w:t>,</w:t>
      </w:r>
      <w:proofErr w:type="gramEnd"/>
      <w:r>
        <w:t xml:space="preserve"> µ</w:t>
      </w:r>
      <w:r>
        <w:rPr>
          <w:vertAlign w:val="subscript"/>
        </w:rPr>
        <w:t xml:space="preserve">2 </w:t>
      </w:r>
      <w:r>
        <w:t>, and µ</w:t>
      </w:r>
      <w:r>
        <w:rPr>
          <w:vertAlign w:val="subscript"/>
        </w:rPr>
        <w:t>3</w:t>
      </w:r>
      <w:r>
        <w:t xml:space="preserve"> are not all equal</w:t>
      </w:r>
      <w:r w:rsidR="00EB6908">
        <w:t xml:space="preserve"> (at least two of the medications differ in their effectiveness).</w:t>
      </w:r>
    </w:p>
    <w:p w:rsidR="00175583" w:rsidRDefault="00EB6908">
      <w:pPr>
        <w:rPr>
          <w:rFonts w:eastAsiaTheme="minorEastAsia"/>
        </w:rPr>
      </w:pPr>
      <w:r>
        <w:t xml:space="preserve">What we wish to determine is whether the differences among the sample means </w:t>
      </w:r>
      <m:oMath>
        <m:sSub>
          <m:sSubPr>
            <m:ctrlPr>
              <w:rPr>
                <w:rFonts w:ascii="Cambria Math" w:hAnsi="Cambria Math"/>
                <w:i/>
              </w:rPr>
            </m:ctrlPr>
          </m:sSubPr>
          <m:e>
            <m:acc>
              <m:accPr>
                <m:chr m:val="̅"/>
                <m:ctrlPr>
                  <w:rPr>
                    <w:rFonts w:ascii="Cambria Math" w:hAnsi="Cambria Math"/>
                    <w:i/>
                  </w:rPr>
                </m:ctrlPr>
              </m:accPr>
              <m:e>
                <m:r>
                  <m:rPr>
                    <m:sty m:val="p"/>
                  </m:rPr>
                  <w:rPr>
                    <w:rFonts w:ascii="Cambria Math"/>
                  </w:rPr>
                  <m:t>X</m:t>
                </m:r>
              </m:e>
            </m:acc>
          </m:e>
          <m:sub>
            <m:r>
              <w:rPr>
                <w:rFonts w:ascii="Cambria Math"/>
              </w:rPr>
              <m:t>1</m:t>
            </m:r>
          </m:sub>
        </m:sSub>
        <m:r>
          <w:rPr>
            <w:rFonts w:ascii="Cambria Math"/>
          </w:rPr>
          <m:t xml:space="preserve">, </m:t>
        </m:r>
        <m:sSub>
          <m:sSubPr>
            <m:ctrlPr>
              <w:rPr>
                <w:rFonts w:ascii="Cambria Math" w:hAnsi="Cambria Math"/>
                <w:i/>
              </w:rPr>
            </m:ctrlPr>
          </m:sSubPr>
          <m:e>
            <m:acc>
              <m:accPr>
                <m:chr m:val="̅"/>
                <m:ctrlPr>
                  <w:rPr>
                    <w:rFonts w:ascii="Cambria Math" w:hAnsi="Cambria Math"/>
                    <w:i/>
                  </w:rPr>
                </m:ctrlPr>
              </m:accPr>
              <m:e>
                <m:r>
                  <m:rPr>
                    <m:sty m:val="p"/>
                  </m:rPr>
                  <w:rPr>
                    <w:rFonts w:ascii="Cambria Math"/>
                  </w:rPr>
                  <m:t>X</m:t>
                </m:r>
              </m:e>
            </m:acc>
          </m:e>
          <m:sub>
            <m:r>
              <w:rPr>
                <w:rFonts w:ascii="Cambria Math"/>
              </w:rPr>
              <m:t>2</m:t>
            </m:r>
          </m:sub>
        </m:sSub>
        <m:r>
          <w:rPr>
            <w:rFonts w:ascii="Cambria Math"/>
          </w:rPr>
          <m:t xml:space="preserve">, </m:t>
        </m:r>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X</m:t>
                </m:r>
              </m:e>
            </m:acc>
          </m:e>
          <m:sub>
            <m:r>
              <w:rPr>
                <w:rFonts w:ascii="Cambria Math" w:hAnsi="Cambria Math"/>
              </w:rPr>
              <m:t>3</m:t>
            </m:r>
          </m:sub>
        </m:sSub>
      </m:oMath>
      <w:r>
        <w:rPr>
          <w:rFonts w:eastAsiaTheme="minorEastAsia"/>
        </w:rPr>
        <w:t xml:space="preserve"> are too great to be attributed to the chance errors of drawing samples from the same populations having the same means.  </w:t>
      </w:r>
    </w:p>
    <w:p w:rsidR="00EB6908" w:rsidRDefault="00175583">
      <w:pPr>
        <w:rPr>
          <w:rFonts w:eastAsiaTheme="minorEastAsia"/>
        </w:rPr>
      </w:pPr>
      <w:r>
        <w:rPr>
          <w:rFonts w:eastAsiaTheme="minorEastAsia"/>
        </w:rPr>
        <w:t xml:space="preserve">Having calculated a test statistic, and using the degrees of freedom determined for the numerator and denominator of the statistic, the </w:t>
      </w:r>
      <w:r w:rsidRPr="00175583">
        <w:rPr>
          <w:rFonts w:eastAsiaTheme="minorEastAsia"/>
          <w:i/>
        </w:rPr>
        <w:t>F</w:t>
      </w:r>
      <w:r>
        <w:rPr>
          <w:rFonts w:eastAsiaTheme="minorEastAsia"/>
        </w:rPr>
        <w:t xml:space="preserve">-ratio can be compared to </w:t>
      </w:r>
      <w:r w:rsidRPr="00175583">
        <w:rPr>
          <w:rFonts w:eastAsiaTheme="minorEastAsia"/>
        </w:rPr>
        <w:t>a</w:t>
      </w:r>
      <w:r>
        <w:rPr>
          <w:rFonts w:eastAsiaTheme="minorEastAsia"/>
        </w:rPr>
        <w:t xml:space="preserve"> table of </w:t>
      </w:r>
      <w:r w:rsidRPr="00175583">
        <w:rPr>
          <w:rFonts w:eastAsiaTheme="minorEastAsia"/>
        </w:rPr>
        <w:t>the</w:t>
      </w:r>
      <w:r>
        <w:rPr>
          <w:rFonts w:eastAsiaTheme="minorEastAsia"/>
        </w:rPr>
        <w:t xml:space="preserve"> </w:t>
      </w:r>
      <w:r w:rsidRPr="00175583">
        <w:rPr>
          <w:rFonts w:eastAsiaTheme="minorEastAsia"/>
          <w:i/>
        </w:rPr>
        <w:t>F</w:t>
      </w:r>
      <w:r>
        <w:rPr>
          <w:rFonts w:eastAsiaTheme="minorEastAsia"/>
        </w:rPr>
        <w:t xml:space="preserve"> distribution (e.g., see </w:t>
      </w:r>
      <w:hyperlink r:id="rId6" w:history="1">
        <w:r w:rsidRPr="00175583">
          <w:rPr>
            <w:rStyle w:val="Hyperlink"/>
            <w:rFonts w:eastAsiaTheme="minorEastAsia"/>
          </w:rPr>
          <w:t>http://www.socr.ucla.edu/Applets.dir/F_Table.html</w:t>
        </w:r>
      </w:hyperlink>
      <w:r w:rsidRPr="00175583">
        <w:rPr>
          <w:rFonts w:eastAsiaTheme="minorEastAsia"/>
        </w:rPr>
        <w:t xml:space="preserve"> </w:t>
      </w:r>
      <w:r>
        <w:rPr>
          <w:rFonts w:eastAsiaTheme="minorEastAsia"/>
        </w:rPr>
        <w:t xml:space="preserve">)  or entered into an on-line calculator (one of many available can be found at </w:t>
      </w:r>
      <w:hyperlink r:id="rId7" w:history="1">
        <w:r w:rsidRPr="00EB74C6">
          <w:rPr>
            <w:rStyle w:val="Hyperlink"/>
            <w:rFonts w:eastAsiaTheme="minorEastAsia"/>
          </w:rPr>
          <w:t>http://faculty.vassar.edu/lowry/tabs.html</w:t>
        </w:r>
      </w:hyperlink>
      <w:r>
        <w:rPr>
          <w:rFonts w:eastAsiaTheme="minorEastAsia"/>
        </w:rPr>
        <w:t>)  to find the level of significance.</w:t>
      </w:r>
      <w:r w:rsidR="00EB6908">
        <w:rPr>
          <w:rFonts w:eastAsiaTheme="minorEastAsia"/>
        </w:rPr>
        <w:t xml:space="preserve"> </w:t>
      </w:r>
      <w:r>
        <w:rPr>
          <w:rFonts w:eastAsiaTheme="minorEastAsia"/>
        </w:rPr>
        <w:t>If the test statistic is significant, the</w:t>
      </w:r>
      <w:r w:rsidR="00EB6908">
        <w:rPr>
          <w:rFonts w:eastAsiaTheme="minorEastAsia"/>
        </w:rPr>
        <w:t xml:space="preserve"> conclusion that the anti-hypertensive med</w:t>
      </w:r>
      <w:r>
        <w:rPr>
          <w:rFonts w:eastAsiaTheme="minorEastAsia"/>
        </w:rPr>
        <w:t>ications differ in effectiveness can be drawn</w:t>
      </w:r>
      <w:r w:rsidR="00EB6908">
        <w:rPr>
          <w:rFonts w:eastAsiaTheme="minorEastAsia"/>
        </w:rPr>
        <w:t xml:space="preserve">. </w:t>
      </w:r>
    </w:p>
    <w:p w:rsidR="003A1C8D" w:rsidRPr="0018658C" w:rsidRDefault="003A1C8D" w:rsidP="003A1C8D">
      <w:pPr>
        <w:spacing w:after="0"/>
        <w:rPr>
          <w:rFonts w:eastAsiaTheme="minorEastAsia"/>
          <w:b/>
          <w:sz w:val="24"/>
          <w:szCs w:val="24"/>
        </w:rPr>
      </w:pPr>
      <w:r w:rsidRPr="0018658C">
        <w:rPr>
          <w:rFonts w:eastAsiaTheme="minorEastAsia"/>
          <w:b/>
          <w:sz w:val="24"/>
          <w:szCs w:val="24"/>
        </w:rPr>
        <w:t xml:space="preserve">Post-hoc </w:t>
      </w:r>
      <w:r w:rsidR="005876D2" w:rsidRPr="0018658C">
        <w:rPr>
          <w:rFonts w:eastAsiaTheme="minorEastAsia"/>
          <w:b/>
          <w:sz w:val="24"/>
          <w:szCs w:val="24"/>
        </w:rPr>
        <w:t>Comparisons</w:t>
      </w:r>
    </w:p>
    <w:p w:rsidR="00BE1F55" w:rsidRDefault="007C0140" w:rsidP="00BE1F55">
      <w:pPr>
        <w:rPr>
          <w:rFonts w:eastAsiaTheme="minorEastAsia"/>
        </w:rPr>
      </w:pPr>
      <w:r>
        <w:rPr>
          <w:rFonts w:eastAsiaTheme="minorEastAsia"/>
        </w:rPr>
        <w:t xml:space="preserve">When the null hypothesis is rejected, leading us to conclude that the means of the populations from which the samples were drawn are </w:t>
      </w:r>
      <w:r w:rsidRPr="005876D2">
        <w:rPr>
          <w:rFonts w:eastAsiaTheme="minorEastAsia"/>
          <w:i/>
        </w:rPr>
        <w:t>not</w:t>
      </w:r>
      <w:r>
        <w:rPr>
          <w:rFonts w:eastAsiaTheme="minorEastAsia"/>
        </w:rPr>
        <w:t xml:space="preserve"> all equal, we may wish to make </w:t>
      </w:r>
      <w:r w:rsidR="005876D2">
        <w:rPr>
          <w:rFonts w:eastAsiaTheme="minorEastAsia"/>
        </w:rPr>
        <w:t>additional</w:t>
      </w:r>
      <w:r>
        <w:rPr>
          <w:rFonts w:eastAsiaTheme="minorEastAsia"/>
        </w:rPr>
        <w:t>, more s</w:t>
      </w:r>
      <w:r w:rsidR="0079213C">
        <w:rPr>
          <w:rFonts w:eastAsiaTheme="minorEastAsia"/>
        </w:rPr>
        <w:t xml:space="preserve">pecific comparisons.  Such comparisons are called </w:t>
      </w:r>
      <w:r w:rsidR="0079213C">
        <w:rPr>
          <w:rFonts w:eastAsiaTheme="minorEastAsia"/>
          <w:i/>
        </w:rPr>
        <w:t>post hoc</w:t>
      </w:r>
      <w:r w:rsidR="0079213C">
        <w:rPr>
          <w:rFonts w:eastAsiaTheme="minorEastAsia"/>
        </w:rPr>
        <w:t xml:space="preserve"> if they are comprised of further</w:t>
      </w:r>
      <w:r w:rsidR="005876D2">
        <w:rPr>
          <w:rFonts w:eastAsiaTheme="minorEastAsia"/>
        </w:rPr>
        <w:t xml:space="preserve"> (unplanned)</w:t>
      </w:r>
      <w:r w:rsidR="0079213C">
        <w:rPr>
          <w:rFonts w:eastAsiaTheme="minorEastAsia"/>
        </w:rPr>
        <w:t xml:space="preserve"> investigations of the data after a sig</w:t>
      </w:r>
      <w:r w:rsidR="00BE1F55">
        <w:rPr>
          <w:rFonts w:eastAsiaTheme="minorEastAsia"/>
        </w:rPr>
        <w:t>nificant</w:t>
      </w:r>
      <w:r w:rsidR="005876D2">
        <w:rPr>
          <w:rFonts w:eastAsiaTheme="minorEastAsia"/>
        </w:rPr>
        <w:t xml:space="preserve"> effect has been found. M</w:t>
      </w:r>
      <w:r w:rsidR="00D930DA">
        <w:rPr>
          <w:rFonts w:eastAsiaTheme="minorEastAsia"/>
        </w:rPr>
        <w:t xml:space="preserve">ost of these </w:t>
      </w:r>
      <w:r w:rsidR="00BE1F55">
        <w:rPr>
          <w:rFonts w:eastAsiaTheme="minorEastAsia"/>
        </w:rPr>
        <w:t>make two comparisons at a time</w:t>
      </w:r>
      <w:r w:rsidR="005876D2">
        <w:rPr>
          <w:rFonts w:eastAsiaTheme="minorEastAsia"/>
        </w:rPr>
        <w:t>,</w:t>
      </w:r>
      <w:r w:rsidR="00BE1F55">
        <w:rPr>
          <w:rFonts w:eastAsiaTheme="minorEastAsia"/>
        </w:rPr>
        <w:t xml:space="preserve"> while adjusting for multiple comparisons</w:t>
      </w:r>
      <w:r w:rsidR="005876D2">
        <w:rPr>
          <w:rFonts w:eastAsiaTheme="minorEastAsia"/>
        </w:rPr>
        <w:t xml:space="preserve"> in a slightly less conservative way than the </w:t>
      </w:r>
      <w:proofErr w:type="spellStart"/>
      <w:r w:rsidR="005876D2">
        <w:rPr>
          <w:rFonts w:eastAsiaTheme="minorEastAsia"/>
        </w:rPr>
        <w:t>Bonferroni</w:t>
      </w:r>
      <w:proofErr w:type="spellEnd"/>
      <w:r w:rsidR="005876D2">
        <w:rPr>
          <w:rFonts w:eastAsiaTheme="minorEastAsia"/>
        </w:rPr>
        <w:t xml:space="preserve"> Correction, which divides α by the number of comparisons made. These include (among others) the following:</w:t>
      </w:r>
    </w:p>
    <w:p w:rsidR="00D930DA" w:rsidRDefault="00D930DA" w:rsidP="00BE1F55">
      <w:pPr>
        <w:rPr>
          <w:rFonts w:eastAsiaTheme="minorEastAsia"/>
        </w:rPr>
      </w:pPr>
      <w:r w:rsidRPr="00D930DA">
        <w:rPr>
          <w:rFonts w:eastAsiaTheme="minorEastAsia"/>
          <w:i/>
          <w:u w:val="single"/>
        </w:rPr>
        <w:lastRenderedPageBreak/>
        <w:t xml:space="preserve">Fisher’s LSD (Least Significant Difference) </w:t>
      </w:r>
      <w:proofErr w:type="gramStart"/>
      <w:r w:rsidRPr="00D930DA">
        <w:rPr>
          <w:rFonts w:eastAsiaTheme="minorEastAsia"/>
          <w:i/>
          <w:u w:val="single"/>
        </w:rPr>
        <w:t>Test</w:t>
      </w:r>
      <w:r>
        <w:rPr>
          <w:rFonts w:eastAsiaTheme="minorEastAsia"/>
          <w:i/>
          <w:u w:val="single"/>
        </w:rPr>
        <w:t xml:space="preserve"> </w:t>
      </w:r>
      <w:r>
        <w:rPr>
          <w:rFonts w:eastAsiaTheme="minorEastAsia"/>
          <w:i/>
        </w:rPr>
        <w:t>:</w:t>
      </w:r>
      <w:proofErr w:type="gramEnd"/>
      <w:r>
        <w:rPr>
          <w:rFonts w:eastAsiaTheme="minorEastAsia"/>
          <w:i/>
        </w:rPr>
        <w:t xml:space="preserve"> </w:t>
      </w:r>
      <w:r>
        <w:rPr>
          <w:rFonts w:eastAsiaTheme="minorEastAsia"/>
        </w:rPr>
        <w:t xml:space="preserve">Multiple </w:t>
      </w:r>
      <w:r>
        <w:rPr>
          <w:rFonts w:eastAsiaTheme="minorEastAsia"/>
          <w:i/>
        </w:rPr>
        <w:t>t-</w:t>
      </w:r>
      <w:r>
        <w:rPr>
          <w:rFonts w:eastAsiaTheme="minorEastAsia"/>
        </w:rPr>
        <w:t>tests are used compare pairs of means</w:t>
      </w:r>
      <w:r w:rsidR="009D77E9">
        <w:rPr>
          <w:rFonts w:eastAsiaTheme="minorEastAsia"/>
        </w:rPr>
        <w:t xml:space="preserve"> but using the variance estimate from the ANOVA and not solely from the two groups being compared</w:t>
      </w:r>
      <w:r>
        <w:rPr>
          <w:rFonts w:eastAsiaTheme="minorEastAsia"/>
        </w:rPr>
        <w:t xml:space="preserve">. </w:t>
      </w:r>
      <w:r w:rsidR="009D77E9">
        <w:rPr>
          <w:rFonts w:eastAsiaTheme="minorEastAsia"/>
        </w:rPr>
        <w:t>Related</w:t>
      </w:r>
      <w:r>
        <w:rPr>
          <w:rFonts w:eastAsiaTheme="minorEastAsia"/>
        </w:rPr>
        <w:t xml:space="preserve"> to other unplanned comparison procedures, Fisher’s LSD tests is the most powerful for finding differences between pairs of means, because if does not adjust the </w:t>
      </w:r>
      <w:r w:rsidR="009D77E9">
        <w:rPr>
          <w:rFonts w:eastAsiaTheme="minorEastAsia"/>
        </w:rPr>
        <w:t>α</w:t>
      </w:r>
      <w:r>
        <w:rPr>
          <w:rFonts w:eastAsiaTheme="minorEastAsia"/>
        </w:rPr>
        <w:t xml:space="preserve"> level needed to achieve significance in order to account for multiple testing. As a result, it has the greatest chance of resulting in one or more Type I errors. </w:t>
      </w:r>
    </w:p>
    <w:p w:rsidR="003A1C8D" w:rsidRDefault="003A1C8D" w:rsidP="00BE1F55">
      <w:pPr>
        <w:rPr>
          <w:rFonts w:eastAsiaTheme="minorEastAsia"/>
        </w:rPr>
      </w:pPr>
      <w:proofErr w:type="spellStart"/>
      <w:r w:rsidRPr="003A1C8D">
        <w:rPr>
          <w:rFonts w:eastAsiaTheme="minorEastAsia"/>
          <w:i/>
          <w:u w:val="single"/>
        </w:rPr>
        <w:t>Tukey’s</w:t>
      </w:r>
      <w:proofErr w:type="spellEnd"/>
      <w:r w:rsidRPr="003A1C8D">
        <w:rPr>
          <w:rFonts w:eastAsiaTheme="minorEastAsia"/>
          <w:i/>
          <w:u w:val="single"/>
        </w:rPr>
        <w:t xml:space="preserve"> HSD (Honestly Significant Difference) Test</w:t>
      </w:r>
      <w:r>
        <w:rPr>
          <w:rFonts w:eastAsiaTheme="minorEastAsia"/>
          <w:i/>
        </w:rPr>
        <w:t>:</w:t>
      </w:r>
      <w:r>
        <w:rPr>
          <w:rFonts w:eastAsiaTheme="minorEastAsia"/>
        </w:rPr>
        <w:t xml:space="preserve"> This test is generally recommended when a researcher plans to make all possible pair</w:t>
      </w:r>
      <w:r w:rsidR="009D77E9">
        <w:rPr>
          <w:rFonts w:eastAsiaTheme="minorEastAsia"/>
        </w:rPr>
        <w:t>-</w:t>
      </w:r>
      <w:r>
        <w:rPr>
          <w:rFonts w:eastAsiaTheme="minorEastAsia"/>
        </w:rPr>
        <w:t xml:space="preserve">wise comparisons, since it controls the Type I error rate so that it will not exceed the </w:t>
      </w:r>
      <w:r w:rsidR="009D77E9">
        <w:rPr>
          <w:rFonts w:eastAsiaTheme="minorEastAsia"/>
        </w:rPr>
        <w:t xml:space="preserve">α </w:t>
      </w:r>
      <w:r>
        <w:rPr>
          <w:rFonts w:eastAsiaTheme="minorEastAsia"/>
        </w:rPr>
        <w:t>value pre</w:t>
      </w:r>
      <w:r w:rsidR="009D77E9">
        <w:rPr>
          <w:rFonts w:eastAsiaTheme="minorEastAsia"/>
        </w:rPr>
        <w:t>-</w:t>
      </w:r>
      <w:r>
        <w:rPr>
          <w:rFonts w:eastAsiaTheme="minorEastAsia"/>
        </w:rPr>
        <w:t xml:space="preserve">specified in the analysis. It maintains an acceptable level for </w:t>
      </w:r>
      <w:r w:rsidR="009D77E9">
        <w:rPr>
          <w:rFonts w:eastAsiaTheme="minorEastAsia"/>
        </w:rPr>
        <w:t>α</w:t>
      </w:r>
      <w:r>
        <w:rPr>
          <w:rFonts w:eastAsiaTheme="minorEastAsia"/>
        </w:rPr>
        <w:t xml:space="preserve"> without an excessive loss of power.</w:t>
      </w:r>
      <w:r w:rsidR="009D77E9">
        <w:rPr>
          <w:rFonts w:eastAsiaTheme="minorEastAsia"/>
        </w:rPr>
        <w:t xml:space="preserve"> (</w:t>
      </w:r>
      <w:proofErr w:type="gramStart"/>
      <w:r w:rsidR="009D77E9">
        <w:rPr>
          <w:rFonts w:eastAsiaTheme="minorEastAsia"/>
        </w:rPr>
        <w:t>to</w:t>
      </w:r>
      <w:proofErr w:type="gramEnd"/>
      <w:r w:rsidR="009D77E9">
        <w:rPr>
          <w:rFonts w:eastAsiaTheme="minorEastAsia"/>
        </w:rPr>
        <w:t xml:space="preserve"> calculate </w:t>
      </w:r>
      <w:proofErr w:type="spellStart"/>
      <w:r w:rsidR="009D77E9">
        <w:rPr>
          <w:rFonts w:eastAsiaTheme="minorEastAsia"/>
        </w:rPr>
        <w:t>Tukey’s</w:t>
      </w:r>
      <w:proofErr w:type="spellEnd"/>
      <w:r w:rsidR="009D77E9">
        <w:rPr>
          <w:rFonts w:eastAsiaTheme="minorEastAsia"/>
        </w:rPr>
        <w:t xml:space="preserve"> HSD, see </w:t>
      </w:r>
      <w:hyperlink r:id="rId8" w:history="1">
        <w:r w:rsidR="009D77E9" w:rsidRPr="00EB74C6">
          <w:rPr>
            <w:rStyle w:val="Hyperlink"/>
            <w:rFonts w:eastAsiaTheme="minorEastAsia"/>
          </w:rPr>
          <w:t>http://web.mst.edu/~psyworld/virtualstat/tukeys/tukeyformulas.html</w:t>
        </w:r>
      </w:hyperlink>
      <w:r w:rsidR="009D77E9">
        <w:rPr>
          <w:rFonts w:eastAsiaTheme="minorEastAsia"/>
        </w:rPr>
        <w:t>)</w:t>
      </w:r>
    </w:p>
    <w:p w:rsidR="003A1C8D" w:rsidRPr="003A1C8D" w:rsidRDefault="003A1C8D" w:rsidP="00BE1F55">
      <w:pPr>
        <w:rPr>
          <w:rFonts w:eastAsiaTheme="minorEastAsia"/>
        </w:rPr>
      </w:pPr>
      <w:r>
        <w:rPr>
          <w:rFonts w:eastAsiaTheme="minorEastAsia"/>
          <w:i/>
          <w:u w:val="single"/>
        </w:rPr>
        <w:t>The Newman-</w:t>
      </w:r>
      <w:proofErr w:type="spellStart"/>
      <w:r>
        <w:rPr>
          <w:rFonts w:eastAsiaTheme="minorEastAsia"/>
          <w:i/>
          <w:u w:val="single"/>
        </w:rPr>
        <w:t>Keuls</w:t>
      </w:r>
      <w:proofErr w:type="spellEnd"/>
      <w:r>
        <w:rPr>
          <w:rFonts w:eastAsiaTheme="minorEastAsia"/>
          <w:i/>
          <w:u w:val="single"/>
        </w:rPr>
        <w:t xml:space="preserve"> Test</w:t>
      </w:r>
      <w:r>
        <w:rPr>
          <w:rFonts w:eastAsiaTheme="minorEastAsia"/>
        </w:rPr>
        <w:t xml:space="preserve">: </w:t>
      </w:r>
      <w:r w:rsidR="002E7800">
        <w:rPr>
          <w:rFonts w:eastAsiaTheme="minorEastAsia"/>
        </w:rPr>
        <w:t xml:space="preserve">This test is similar to, and more powerful than, </w:t>
      </w:r>
      <w:proofErr w:type="spellStart"/>
      <w:r w:rsidR="002E7800">
        <w:rPr>
          <w:rFonts w:eastAsiaTheme="minorEastAsia"/>
        </w:rPr>
        <w:t>Tukey’s</w:t>
      </w:r>
      <w:proofErr w:type="spellEnd"/>
      <w:r w:rsidR="002E7800">
        <w:rPr>
          <w:rFonts w:eastAsiaTheme="minorEastAsia"/>
        </w:rPr>
        <w:t xml:space="preserve"> HSD. However, it does not control for experiment</w:t>
      </w:r>
      <w:r w:rsidR="009D77E9">
        <w:rPr>
          <w:rFonts w:eastAsiaTheme="minorEastAsia"/>
        </w:rPr>
        <w:t>-</w:t>
      </w:r>
      <w:r w:rsidR="002E7800">
        <w:rPr>
          <w:rFonts w:eastAsiaTheme="minorEastAsia"/>
        </w:rPr>
        <w:t xml:space="preserve">wise error rate at α. </w:t>
      </w:r>
      <w:r w:rsidR="0046048E">
        <w:rPr>
          <w:rFonts w:eastAsiaTheme="minorEastAsia"/>
        </w:rPr>
        <w:t>The Newman-</w:t>
      </w:r>
      <w:proofErr w:type="spellStart"/>
      <w:r w:rsidR="0046048E">
        <w:rPr>
          <w:rFonts w:eastAsiaTheme="minorEastAsia"/>
        </w:rPr>
        <w:t>Keuls</w:t>
      </w:r>
      <w:proofErr w:type="spellEnd"/>
      <w:r w:rsidR="0046048E">
        <w:rPr>
          <w:rFonts w:eastAsiaTheme="minorEastAsia"/>
        </w:rPr>
        <w:t xml:space="preserve"> test cannot generate confidence intervals, which are often more informative than significance levels. </w:t>
      </w:r>
      <w:r w:rsidR="002E7800">
        <w:rPr>
          <w:rFonts w:eastAsiaTheme="minorEastAsia"/>
        </w:rPr>
        <w:t xml:space="preserve">For further explanation, see </w:t>
      </w:r>
      <w:hyperlink r:id="rId9" w:history="1">
        <w:r w:rsidR="002E7800" w:rsidRPr="00EB74C6">
          <w:rPr>
            <w:rStyle w:val="Hyperlink"/>
            <w:rFonts w:eastAsiaTheme="minorEastAsia"/>
          </w:rPr>
          <w:t>http://en.wikipedia.org/wiki/Post-hoc_analysis</w:t>
        </w:r>
      </w:hyperlink>
      <w:r w:rsidR="002E7800">
        <w:rPr>
          <w:rFonts w:eastAsiaTheme="minorEastAsia"/>
        </w:rPr>
        <w:t xml:space="preserve">. </w:t>
      </w:r>
    </w:p>
    <w:p w:rsidR="003A1C8D" w:rsidRDefault="003A1C8D" w:rsidP="00BE1F55">
      <w:pPr>
        <w:rPr>
          <w:rFonts w:eastAsiaTheme="minorEastAsia"/>
        </w:rPr>
      </w:pPr>
      <w:r>
        <w:rPr>
          <w:rFonts w:eastAsiaTheme="minorEastAsia"/>
          <w:i/>
          <w:u w:val="single"/>
        </w:rPr>
        <w:t xml:space="preserve">The </w:t>
      </w:r>
      <w:proofErr w:type="spellStart"/>
      <w:r>
        <w:rPr>
          <w:rFonts w:eastAsiaTheme="minorEastAsia"/>
          <w:i/>
          <w:u w:val="single"/>
        </w:rPr>
        <w:t>Scheffe</w:t>
      </w:r>
      <w:proofErr w:type="spellEnd"/>
      <w:r>
        <w:rPr>
          <w:rFonts w:eastAsiaTheme="minorEastAsia"/>
          <w:i/>
          <w:u w:val="single"/>
        </w:rPr>
        <w:t xml:space="preserve"> Test</w:t>
      </w:r>
      <w:r>
        <w:rPr>
          <w:rFonts w:eastAsiaTheme="minorEastAsia"/>
        </w:rPr>
        <w:t xml:space="preserve">: </w:t>
      </w:r>
      <w:r w:rsidR="00212617">
        <w:rPr>
          <w:rFonts w:eastAsiaTheme="minorEastAsia"/>
        </w:rPr>
        <w:t>This test is extremely flexible, allowing for any type of comparison</w:t>
      </w:r>
      <w:r w:rsidR="0046048E">
        <w:rPr>
          <w:rFonts w:eastAsiaTheme="minorEastAsia"/>
        </w:rPr>
        <w:t>, even between averages; e.g., the average of groups A and B can be compared to the average of groups C, D, and E</w:t>
      </w:r>
      <w:r w:rsidR="005876D2">
        <w:rPr>
          <w:rFonts w:eastAsiaTheme="minorEastAsia"/>
        </w:rPr>
        <w:t xml:space="preserve">. </w:t>
      </w:r>
      <w:r w:rsidR="0046048E">
        <w:rPr>
          <w:rFonts w:eastAsiaTheme="minorEastAsia"/>
        </w:rPr>
        <w:t xml:space="preserve">This increased versatility results in less power to detect differences between pairs of groups, however. It is </w:t>
      </w:r>
      <w:r>
        <w:rPr>
          <w:rFonts w:eastAsiaTheme="minorEastAsia"/>
        </w:rPr>
        <w:t xml:space="preserve">the most conservative of the unplanned comparison procedures. The test specifies a fixed value of </w:t>
      </w:r>
      <w:r w:rsidR="002E7800">
        <w:rPr>
          <w:rFonts w:eastAsiaTheme="minorEastAsia"/>
        </w:rPr>
        <w:t xml:space="preserve">α </w:t>
      </w:r>
      <w:r>
        <w:rPr>
          <w:rFonts w:eastAsiaTheme="minorEastAsia"/>
        </w:rPr>
        <w:t xml:space="preserve">which does not depend on the number of comparisons conducted. </w:t>
      </w:r>
    </w:p>
    <w:p w:rsidR="00212617" w:rsidRDefault="00212617" w:rsidP="00BE1F55">
      <w:pPr>
        <w:rPr>
          <w:rFonts w:eastAsiaTheme="minorEastAsia"/>
        </w:rPr>
      </w:pPr>
      <w:r>
        <w:rPr>
          <w:rFonts w:eastAsiaTheme="minorEastAsia"/>
        </w:rPr>
        <w:t>For a good summary of the mechanics necessary, and examples of, multiple comparison tests including hypotheses, statistical formulae, and decision rules to reject the null hypothesis, see</w:t>
      </w:r>
    </w:p>
    <w:p w:rsidR="003315BE" w:rsidRDefault="00150912" w:rsidP="00BE1F55">
      <w:hyperlink r:id="rId10" w:history="1">
        <w:r w:rsidR="00212617" w:rsidRPr="00EB74C6">
          <w:rPr>
            <w:rStyle w:val="Hyperlink"/>
            <w:rFonts w:eastAsiaTheme="minorEastAsia"/>
          </w:rPr>
          <w:t>http://www.anselm.edu/homepage/jpitocch/anova/multcomp.html</w:t>
        </w:r>
      </w:hyperlink>
    </w:p>
    <w:p w:rsidR="003315BE" w:rsidRPr="0018658C" w:rsidRDefault="003315BE" w:rsidP="003315BE">
      <w:pPr>
        <w:rPr>
          <w:b/>
          <w:sz w:val="24"/>
          <w:szCs w:val="24"/>
        </w:rPr>
      </w:pPr>
      <w:r w:rsidRPr="0018658C">
        <w:rPr>
          <w:b/>
          <w:sz w:val="24"/>
          <w:szCs w:val="24"/>
        </w:rPr>
        <w:t>Assumptions</w:t>
      </w:r>
    </w:p>
    <w:p w:rsidR="003315BE" w:rsidRDefault="003315BE" w:rsidP="003315BE">
      <w:r>
        <w:t>The one-way analysis of variance is used with interval or ratio data and is based on the following assumptions:</w:t>
      </w:r>
    </w:p>
    <w:p w:rsidR="003315BE" w:rsidRDefault="003315BE" w:rsidP="003315BE">
      <w:pPr>
        <w:pStyle w:val="ListParagraph"/>
        <w:numPr>
          <w:ilvl w:val="0"/>
          <w:numId w:val="11"/>
        </w:numPr>
      </w:pPr>
      <w:r>
        <w:t>each sample has been randomly selected from the population from which it is drawn;</w:t>
      </w:r>
    </w:p>
    <w:p w:rsidR="003315BE" w:rsidRDefault="003315BE" w:rsidP="003315BE">
      <w:pPr>
        <w:pStyle w:val="ListParagraph"/>
        <w:numPr>
          <w:ilvl w:val="0"/>
          <w:numId w:val="11"/>
        </w:numPr>
      </w:pPr>
      <w:r>
        <w:t>the variable being studied in the underlying population is normally distributed;</w:t>
      </w:r>
    </w:p>
    <w:p w:rsidR="003315BE" w:rsidRPr="005F75CD" w:rsidRDefault="003315BE" w:rsidP="003315BE">
      <w:pPr>
        <w:pStyle w:val="ListParagraph"/>
        <w:numPr>
          <w:ilvl w:val="0"/>
          <w:numId w:val="11"/>
        </w:numPr>
      </w:pPr>
      <w:r>
        <w:t xml:space="preserve">the variances of the populations underlying the </w:t>
      </w:r>
      <w:r>
        <w:rPr>
          <w:i/>
        </w:rPr>
        <w:t xml:space="preserve">k </w:t>
      </w:r>
      <w:r>
        <w:t xml:space="preserve"> sample are equal (</w:t>
      </w:r>
      <w:r>
        <w:rPr>
          <w:b/>
        </w:rPr>
        <w:t>homogeneity of variance assumption)</w:t>
      </w:r>
    </w:p>
    <w:p w:rsidR="003315BE" w:rsidRDefault="003315BE" w:rsidP="0058537A">
      <w:r>
        <w:t xml:space="preserve">Although ANOVA is relatively robust to moderate departures for the assumption of normality, it becomes unreliable if variances are unequal. Before doing an ANOVA, it is important to test whether the variances in the groups are similar. This is generally done using </w:t>
      </w:r>
      <w:proofErr w:type="spellStart"/>
      <w:r>
        <w:t>Levene’s</w:t>
      </w:r>
      <w:proofErr w:type="spellEnd"/>
      <w:r>
        <w:t xml:space="preserve"> test or Bartlett’s test. One option, if variances are not equal among the groups, is to convert the data to ranks and use the non-parametric equivalent test, the </w:t>
      </w:r>
      <w:proofErr w:type="spellStart"/>
      <w:r>
        <w:t>Kruskal</w:t>
      </w:r>
      <w:proofErr w:type="spellEnd"/>
      <w:r>
        <w:t xml:space="preserve">-Wallis. This test evaluates the hypothesis that in a set of </w:t>
      </w:r>
      <w:r>
        <w:rPr>
          <w:i/>
        </w:rPr>
        <w:t>k</w:t>
      </w:r>
      <w:r>
        <w:t xml:space="preserve"> independent samples (where </w:t>
      </w:r>
      <w:r>
        <w:rPr>
          <w:i/>
        </w:rPr>
        <w:t>k</w:t>
      </w:r>
      <w:r>
        <w:t xml:space="preserve"> ≥ 2), all of the samples represent populations with the same median </w:t>
      </w:r>
      <w:r>
        <w:lastRenderedPageBreak/>
        <w:t>values. The alternative hypothesis is that at least two of the samples represent populations with different median values</w:t>
      </w:r>
      <w:r w:rsidR="0058537A">
        <w:t xml:space="preserve">.  </w:t>
      </w:r>
    </w:p>
    <w:p w:rsidR="003315BE" w:rsidRPr="0018658C" w:rsidRDefault="003315BE" w:rsidP="003315BE">
      <w:pPr>
        <w:rPr>
          <w:b/>
          <w:sz w:val="24"/>
          <w:szCs w:val="24"/>
        </w:rPr>
      </w:pPr>
      <w:r w:rsidRPr="0018658C">
        <w:rPr>
          <w:b/>
          <w:sz w:val="24"/>
          <w:szCs w:val="24"/>
        </w:rPr>
        <w:t>Sample Size and Power</w:t>
      </w:r>
    </w:p>
    <w:p w:rsidR="003315BE" w:rsidRDefault="003315BE" w:rsidP="003315BE">
      <w:r>
        <w:t xml:space="preserve">For fixed effects models, the following elements are necessary to calculate sample size: effect size, number of groups, and desired levels of α and β. In determining effect size, sample size calculations necessarily must take into account multiple means and the possible differences between them, as well as the potential ways in which they may be distributed in relation to each other. Because effect sizes are not as obviously determined as in two sample models, standardized measures of effect are frequently used. A number of effect size measures are available (see </w:t>
      </w:r>
      <w:hyperlink r:id="rId11" w:history="1">
        <w:r w:rsidRPr="00EB74C6">
          <w:rPr>
            <w:rStyle w:val="Hyperlink"/>
          </w:rPr>
          <w:t>http://en.wikipedia.org/wiki/Analysis_of_variance</w:t>
        </w:r>
      </w:hyperlink>
      <w:proofErr w:type="gramStart"/>
      <w:r>
        <w:t>) ,</w:t>
      </w:r>
      <w:proofErr w:type="gramEnd"/>
      <w:r>
        <w:t xml:space="preserve"> but one of the most commonly used is </w:t>
      </w:r>
      <w:r w:rsidRPr="00FC2F87">
        <w:rPr>
          <w:b/>
        </w:rPr>
        <w:t xml:space="preserve">Cohen’s </w:t>
      </w:r>
      <w:r w:rsidRPr="00FC2F87">
        <w:rPr>
          <w:b/>
          <w:i/>
        </w:rPr>
        <w:t>f</w:t>
      </w:r>
      <w:r w:rsidRPr="00FC2F87">
        <w:rPr>
          <w:b/>
        </w:rPr>
        <w:t xml:space="preserve"> .</w:t>
      </w:r>
      <w:r>
        <w:t xml:space="preserve"> To calculate this measure, an effect size is first calculated as follows:</w:t>
      </w:r>
    </w:p>
    <w:p w:rsidR="003315BE" w:rsidRDefault="003315BE" w:rsidP="003315BE">
      <w:r>
        <w:rPr>
          <w:i/>
        </w:rPr>
        <w:t xml:space="preserve">d </w:t>
      </w:r>
      <w:r>
        <w:t xml:space="preserve">= (δ ÷ </w:t>
      </w:r>
      <w:r>
        <w:rPr>
          <w:i/>
        </w:rPr>
        <w:t>s</w:t>
      </w:r>
      <w:r>
        <w:t>)</w:t>
      </w:r>
    </w:p>
    <w:p w:rsidR="003315BE" w:rsidRDefault="003315BE" w:rsidP="003315BE">
      <w:proofErr w:type="gramStart"/>
      <w:r>
        <w:t>where</w:t>
      </w:r>
      <w:proofErr w:type="gramEnd"/>
      <w:r>
        <w:t xml:space="preserve"> δ = the difference between the means of the groups with the highest and lowest means, and</w:t>
      </w:r>
    </w:p>
    <w:p w:rsidR="003315BE" w:rsidRDefault="003315BE" w:rsidP="003315BE">
      <w:r>
        <w:rPr>
          <w:i/>
        </w:rPr>
        <w:t>s</w:t>
      </w:r>
      <w:r>
        <w:t xml:space="preserve"> = the standard deviation of the means.</w:t>
      </w:r>
    </w:p>
    <w:p w:rsidR="003315BE" w:rsidRDefault="003315BE" w:rsidP="003315BE">
      <w:pPr>
        <w:spacing w:before="240"/>
      </w:pPr>
      <w:r>
        <w:t xml:space="preserve">This measure is then transformed into an effect size for ANOVA by adjusting it for the assumed distribution of the means (for example, one possible distribution might assume that in a study with three groups comparing two drugs to a placebo, the means from the two drug groups may be clustered together at one end of the distribution, while the mean of the placebo group lies at the other end of the distribution).  Formulas are available for the different possible patterns of means. (Cohen J (1988). </w:t>
      </w:r>
      <w:r>
        <w:rPr>
          <w:i/>
        </w:rPr>
        <w:t xml:space="preserve">Statistical power analysis for the social sciences </w:t>
      </w:r>
      <w:r>
        <w:t>(2</w:t>
      </w:r>
      <w:r w:rsidRPr="00555A9D">
        <w:rPr>
          <w:vertAlign w:val="superscript"/>
        </w:rPr>
        <w:t>nd</w:t>
      </w:r>
      <w:r>
        <w:t xml:space="preserve"> </w:t>
      </w:r>
      <w:proofErr w:type="gramStart"/>
      <w:r>
        <w:t>ed</w:t>
      </w:r>
      <w:proofErr w:type="gramEnd"/>
      <w:r>
        <w:t xml:space="preserve">.). New York, Academic Press.) When </w:t>
      </w:r>
      <w:r w:rsidRPr="00FC2F87">
        <w:rPr>
          <w:b/>
        </w:rPr>
        <w:t xml:space="preserve">Cohen’s </w:t>
      </w:r>
      <w:r w:rsidRPr="00FC2F87">
        <w:rPr>
          <w:b/>
          <w:i/>
        </w:rPr>
        <w:t>f</w:t>
      </w:r>
      <w:r>
        <w:t xml:space="preserve"> has been calculated, a table, or computer programs, can be used to calculate sample sizes and power.</w:t>
      </w:r>
    </w:p>
    <w:p w:rsidR="007025D5" w:rsidRPr="00E4298E" w:rsidRDefault="00E4298E">
      <w:pPr>
        <w:rPr>
          <w:b/>
          <w:sz w:val="28"/>
          <w:szCs w:val="28"/>
        </w:rPr>
      </w:pPr>
      <w:r w:rsidRPr="00E4298E">
        <w:rPr>
          <w:b/>
          <w:sz w:val="28"/>
          <w:szCs w:val="28"/>
        </w:rPr>
        <w:t>Factorial Analysis of Variance</w:t>
      </w:r>
    </w:p>
    <w:p w:rsidR="00761798" w:rsidRDefault="00E4298E" w:rsidP="00C52E8B">
      <w:r>
        <w:t>Additional factors can be introduced into analysis of variance designs, such that their effects can be examined separately (</w:t>
      </w:r>
      <w:r>
        <w:rPr>
          <w:b/>
        </w:rPr>
        <w:t>main effects</w:t>
      </w:r>
      <w:r w:rsidRPr="00E4298E">
        <w:t>)</w:t>
      </w:r>
      <w:r>
        <w:t xml:space="preserve"> or in combination with one another (</w:t>
      </w:r>
      <w:r>
        <w:rPr>
          <w:b/>
        </w:rPr>
        <w:t>interactions</w:t>
      </w:r>
      <w:r>
        <w:t xml:space="preserve">). The within group variance calculated in ANOVA represents the variability that is unaccounted for. Adding another factor may help explain some of this variability. In the previous example, we may suspect that gender has an effect on blood pressure control, and may interact differently with different medications. If this is the case, adding gender to the analysis may explain some of the previously unexplained variability between members in each group. </w:t>
      </w:r>
    </w:p>
    <w:p w:rsidR="00761798" w:rsidRDefault="00761798">
      <w:r>
        <w:t>The more explanatory variables that are included, the smaller the unexplained variance will be. However, adding variables that do not account for a significant proportion of the variance can result in a less powerful test.</w:t>
      </w:r>
    </w:p>
    <w:p w:rsidR="00761798" w:rsidRPr="0018658C" w:rsidRDefault="00761798">
      <w:pPr>
        <w:rPr>
          <w:b/>
          <w:sz w:val="24"/>
          <w:szCs w:val="24"/>
        </w:rPr>
      </w:pPr>
      <w:r w:rsidRPr="0018658C">
        <w:rPr>
          <w:b/>
          <w:sz w:val="24"/>
          <w:szCs w:val="24"/>
        </w:rPr>
        <w:t>Factors in Analysis of Variance</w:t>
      </w:r>
    </w:p>
    <w:p w:rsidR="00761798" w:rsidRDefault="00761798">
      <w:r>
        <w:t>There are two types of factors that can be included in a factorial analysis of variance:</w:t>
      </w:r>
    </w:p>
    <w:p w:rsidR="00FE0BD3" w:rsidRDefault="00FE0BD3" w:rsidP="00FE0BD3">
      <w:r>
        <w:rPr>
          <w:i/>
        </w:rPr>
        <w:lastRenderedPageBreak/>
        <w:t xml:space="preserve">Fixed Effects: </w:t>
      </w:r>
      <w:r>
        <w:t>A fixed factor is one for which all levels of the factor are included in the design, such as gender. If no intention is made of generalizing to other levels of a factor (for example, with race), then the inclusion of a subset of all levels of the factor may also be considered fixed.</w:t>
      </w:r>
    </w:p>
    <w:p w:rsidR="001E0742" w:rsidRDefault="00761798">
      <w:r>
        <w:rPr>
          <w:i/>
        </w:rPr>
        <w:t xml:space="preserve">Random </w:t>
      </w:r>
      <w:r w:rsidR="00FE0BD3">
        <w:rPr>
          <w:i/>
        </w:rPr>
        <w:t>Effects</w:t>
      </w:r>
      <w:r>
        <w:rPr>
          <w:i/>
        </w:rPr>
        <w:t xml:space="preserve">: </w:t>
      </w:r>
      <w:r>
        <w:t xml:space="preserve"> A random factor contains a sample of all the possible levels of a factor. The 3 anti-hypertensive medications in the previous example would be random, since they are only a sample of the many anti-hypertensive medications available. When using random factors, the presumption is made that if no difference exists between the levels sampled, then generalization to other levels of the factor may be possible. If differences are found, then generalization outside of the levels included in the analysis may not be valid.</w:t>
      </w:r>
    </w:p>
    <w:p w:rsidR="003315BE" w:rsidRPr="0018658C" w:rsidRDefault="003315BE" w:rsidP="003315BE">
      <w:pPr>
        <w:rPr>
          <w:b/>
          <w:sz w:val="24"/>
          <w:szCs w:val="24"/>
        </w:rPr>
      </w:pPr>
      <w:r w:rsidRPr="0018658C">
        <w:rPr>
          <w:b/>
          <w:sz w:val="24"/>
          <w:szCs w:val="24"/>
        </w:rPr>
        <w:t>Assumptions</w:t>
      </w:r>
    </w:p>
    <w:p w:rsidR="003315BE" w:rsidRDefault="003315BE" w:rsidP="003315BE">
      <w:r>
        <w:t xml:space="preserve">Factorial ANOVA </w:t>
      </w:r>
      <w:r w:rsidR="0018658C">
        <w:t xml:space="preserve">rests on the same assumptions as one-way ANOVA. In addition, the issue of balanced designs (equal sample sizes) must be taken into account. A design is balanced if (a) every cell has an equal number of observations or (b) if the same proportion of individuals appears at each level of a factor (for example, all levels of a factor might have the same ratio of male to females). </w:t>
      </w:r>
    </w:p>
    <w:p w:rsidR="0018658C" w:rsidRPr="0018658C" w:rsidRDefault="0018658C" w:rsidP="003315BE">
      <w:pPr>
        <w:rPr>
          <w:b/>
          <w:sz w:val="24"/>
          <w:szCs w:val="24"/>
        </w:rPr>
      </w:pPr>
      <w:r w:rsidRPr="0018658C">
        <w:rPr>
          <w:b/>
          <w:sz w:val="24"/>
          <w:szCs w:val="24"/>
        </w:rPr>
        <w:t>Sample Size and Power</w:t>
      </w:r>
    </w:p>
    <w:p w:rsidR="0058537A" w:rsidRDefault="0018658C" w:rsidP="0058537A">
      <w:pPr>
        <w:rPr>
          <w:u w:val="single"/>
        </w:rPr>
      </w:pPr>
      <w:r>
        <w:t xml:space="preserve">Calculating sample size for a factorial ANOVA is generally done by using the same strategy for sample size calculations as are used for main effects as in the one-way ANOVA, with the effect or effects of most </w:t>
      </w:r>
      <w:r w:rsidRPr="0058537A">
        <w:t>importance treated as a difference among means. This is then used to calculate a sample size.</w:t>
      </w:r>
    </w:p>
    <w:p w:rsidR="0058537A" w:rsidRPr="0058537A" w:rsidRDefault="0058537A" w:rsidP="0058537A">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Pr="0058537A">
        <w:t xml:space="preserve"> </w:t>
      </w:r>
    </w:p>
    <w:p w:rsidR="0058537A" w:rsidRDefault="0058537A" w:rsidP="0058537A">
      <w:r>
        <w:t>See also:</w:t>
      </w:r>
    </w:p>
    <w:p w:rsidR="0058537A" w:rsidRDefault="0058537A" w:rsidP="0058537A">
      <w:r>
        <w:t xml:space="preserve"> </w:t>
      </w:r>
      <w:hyperlink r:id="rId12" w:history="1">
        <w:r w:rsidRPr="00EB74C6">
          <w:rPr>
            <w:rStyle w:val="Hyperlink"/>
          </w:rPr>
          <w:t>http://en.wikipedia.org/wiki/Kruskal-Wallis_one-way_analysis_of_variance</w:t>
        </w:r>
      </w:hyperlink>
      <w:r>
        <w:t>).</w:t>
      </w:r>
    </w:p>
    <w:p w:rsidR="0058537A" w:rsidRDefault="00150912" w:rsidP="0058537A">
      <w:hyperlink r:id="rId13" w:history="1">
        <w:r w:rsidR="0058537A" w:rsidRPr="00EB74C6">
          <w:rPr>
            <w:rStyle w:val="Hyperlink"/>
          </w:rPr>
          <w:t>http://faculty.vassar.edu/lowry/ch14a.html</w:t>
        </w:r>
      </w:hyperlink>
    </w:p>
    <w:p w:rsidR="0058537A" w:rsidRDefault="00150912" w:rsidP="0058537A">
      <w:hyperlink r:id="rId14" w:history="1">
        <w:r w:rsidR="0058537A" w:rsidRPr="00EB74C6">
          <w:rPr>
            <w:rStyle w:val="Hyperlink"/>
          </w:rPr>
          <w:t>http://homepages.ucalgary.ca/~jefox/Kruskal%20and%20Wallis%201952.pdf</w:t>
        </w:r>
      </w:hyperlink>
    </w:p>
    <w:p w:rsidR="0018658C" w:rsidRPr="0018658C" w:rsidRDefault="0058537A" w:rsidP="003315BE">
      <w:r>
        <w:t>References:</w:t>
      </w:r>
    </w:p>
    <w:p w:rsidR="0046048E" w:rsidRDefault="0058537A" w:rsidP="007E0A45">
      <w:pPr>
        <w:pStyle w:val="ListParagraph"/>
        <w:numPr>
          <w:ilvl w:val="0"/>
          <w:numId w:val="12"/>
        </w:numPr>
        <w:spacing w:before="240"/>
      </w:pPr>
      <w:proofErr w:type="spellStart"/>
      <w:r>
        <w:t>Kruskal</w:t>
      </w:r>
      <w:proofErr w:type="spellEnd"/>
      <w:r>
        <w:t xml:space="preserve"> and Wallis. </w:t>
      </w:r>
      <w:hyperlink r:id="rId15" w:history="1">
        <w:r w:rsidRPr="0058537A">
          <w:rPr>
            <w:rStyle w:val="Hyperlink"/>
          </w:rPr>
          <w:t>Use of ranks in one-criterion variance analysis</w:t>
        </w:r>
      </w:hyperlink>
      <w:r>
        <w:t xml:space="preserve">. </w:t>
      </w:r>
      <w:r w:rsidRPr="0058537A">
        <w:rPr>
          <w:i/>
          <w:iCs/>
        </w:rPr>
        <w:t>Journal of the American Statistical Association</w:t>
      </w:r>
      <w:r>
        <w:t xml:space="preserve"> </w:t>
      </w:r>
      <w:r w:rsidRPr="0058537A">
        <w:rPr>
          <w:b/>
          <w:bCs/>
        </w:rPr>
        <w:t>47</w:t>
      </w:r>
      <w:r>
        <w:t xml:space="preserve"> (260): 583–621, December 1952)</w:t>
      </w:r>
    </w:p>
    <w:p w:rsidR="0058537A" w:rsidRPr="007E0A45" w:rsidRDefault="0058537A" w:rsidP="0058537A">
      <w:pPr>
        <w:spacing w:before="240"/>
      </w:pPr>
    </w:p>
    <w:p w:rsidR="00E94B28" w:rsidRPr="00E94B28" w:rsidRDefault="00E94B28" w:rsidP="00FE4C98">
      <w:pPr>
        <w:spacing w:before="100" w:beforeAutospacing="1" w:after="100" w:afterAutospacing="1" w:line="240" w:lineRule="auto"/>
        <w:ind w:left="720"/>
        <w:rPr>
          <w:b/>
          <w:sz w:val="32"/>
          <w:szCs w:val="32"/>
        </w:rPr>
      </w:pPr>
      <w:bookmarkStart w:id="0" w:name="ANOVA_on_ranks"/>
      <w:bookmarkStart w:id="1" w:name="Effect_size_measures"/>
      <w:bookmarkStart w:id="2" w:name="Follow_up_tests"/>
      <w:bookmarkStart w:id="3" w:name="Power_analysis"/>
      <w:bookmarkStart w:id="4" w:name="Examples"/>
      <w:bookmarkStart w:id="5" w:name="History"/>
      <w:bookmarkStart w:id="6" w:name="See_also"/>
      <w:bookmarkEnd w:id="0"/>
      <w:bookmarkEnd w:id="1"/>
      <w:bookmarkEnd w:id="2"/>
      <w:bookmarkEnd w:id="3"/>
      <w:bookmarkEnd w:id="4"/>
      <w:bookmarkEnd w:id="5"/>
      <w:bookmarkEnd w:id="6"/>
    </w:p>
    <w:sectPr w:rsidR="00E94B28" w:rsidRPr="00E94B28" w:rsidSect="00C06E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F68"/>
    <w:multiLevelType w:val="multilevel"/>
    <w:tmpl w:val="E22C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5C1818"/>
    <w:multiLevelType w:val="multilevel"/>
    <w:tmpl w:val="29E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A0937"/>
    <w:multiLevelType w:val="hybridMultilevel"/>
    <w:tmpl w:val="31D2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2313E"/>
    <w:multiLevelType w:val="multilevel"/>
    <w:tmpl w:val="8E5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23319"/>
    <w:multiLevelType w:val="multilevel"/>
    <w:tmpl w:val="011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EC205F"/>
    <w:multiLevelType w:val="multilevel"/>
    <w:tmpl w:val="231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BD2CCB"/>
    <w:multiLevelType w:val="hybridMultilevel"/>
    <w:tmpl w:val="F3A6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626B44"/>
    <w:multiLevelType w:val="multilevel"/>
    <w:tmpl w:val="D084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302506"/>
    <w:multiLevelType w:val="multilevel"/>
    <w:tmpl w:val="260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B31686"/>
    <w:multiLevelType w:val="multilevel"/>
    <w:tmpl w:val="86C2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201C5"/>
    <w:multiLevelType w:val="multilevel"/>
    <w:tmpl w:val="FD2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E79EC"/>
    <w:multiLevelType w:val="multilevel"/>
    <w:tmpl w:val="6EC8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0"/>
  </w:num>
  <w:num w:numId="4">
    <w:abstractNumId w:val="3"/>
  </w:num>
  <w:num w:numId="5">
    <w:abstractNumId w:val="1"/>
  </w:num>
  <w:num w:numId="6">
    <w:abstractNumId w:val="7"/>
  </w:num>
  <w:num w:numId="7">
    <w:abstractNumId w:val="9"/>
  </w:num>
  <w:num w:numId="8">
    <w:abstractNumId w:val="0"/>
  </w:num>
  <w:num w:numId="9">
    <w:abstractNumId w:val="5"/>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oNotDisplayPageBoundaries/>
  <w:proofState w:spelling="clean" w:grammar="clean"/>
  <w:defaultTabStop w:val="720"/>
  <w:characterSpacingControl w:val="doNotCompress"/>
  <w:compat/>
  <w:rsids>
    <w:rsidRoot w:val="00E94B28"/>
    <w:rsid w:val="00102903"/>
    <w:rsid w:val="001470E9"/>
    <w:rsid w:val="00150912"/>
    <w:rsid w:val="00175583"/>
    <w:rsid w:val="0018658C"/>
    <w:rsid w:val="001E0742"/>
    <w:rsid w:val="001F002E"/>
    <w:rsid w:val="00212617"/>
    <w:rsid w:val="0024661F"/>
    <w:rsid w:val="002621AB"/>
    <w:rsid w:val="00285AEE"/>
    <w:rsid w:val="002C1045"/>
    <w:rsid w:val="002E7800"/>
    <w:rsid w:val="003315BE"/>
    <w:rsid w:val="00350975"/>
    <w:rsid w:val="003A1C8D"/>
    <w:rsid w:val="003F6CE3"/>
    <w:rsid w:val="0046048E"/>
    <w:rsid w:val="00486D72"/>
    <w:rsid w:val="004C7538"/>
    <w:rsid w:val="004D530C"/>
    <w:rsid w:val="004E4697"/>
    <w:rsid w:val="00510FC6"/>
    <w:rsid w:val="00520CDB"/>
    <w:rsid w:val="00555A9D"/>
    <w:rsid w:val="0058537A"/>
    <w:rsid w:val="00587127"/>
    <w:rsid w:val="005876D2"/>
    <w:rsid w:val="005D2C45"/>
    <w:rsid w:val="005F75CD"/>
    <w:rsid w:val="0063366E"/>
    <w:rsid w:val="006D3FF3"/>
    <w:rsid w:val="007025D5"/>
    <w:rsid w:val="00724A56"/>
    <w:rsid w:val="00750D20"/>
    <w:rsid w:val="00756B07"/>
    <w:rsid w:val="00761798"/>
    <w:rsid w:val="00791BD0"/>
    <w:rsid w:val="0079213C"/>
    <w:rsid w:val="007C0140"/>
    <w:rsid w:val="007E0A45"/>
    <w:rsid w:val="0082788A"/>
    <w:rsid w:val="00855982"/>
    <w:rsid w:val="008F2CB1"/>
    <w:rsid w:val="009122DA"/>
    <w:rsid w:val="00952A80"/>
    <w:rsid w:val="00961C62"/>
    <w:rsid w:val="009D77E9"/>
    <w:rsid w:val="00A145AD"/>
    <w:rsid w:val="00A502D6"/>
    <w:rsid w:val="00A909B0"/>
    <w:rsid w:val="00AF577F"/>
    <w:rsid w:val="00B823A4"/>
    <w:rsid w:val="00BE1F55"/>
    <w:rsid w:val="00C06EA5"/>
    <w:rsid w:val="00C429D2"/>
    <w:rsid w:val="00C52E8B"/>
    <w:rsid w:val="00CE5B96"/>
    <w:rsid w:val="00D07A3F"/>
    <w:rsid w:val="00D4677D"/>
    <w:rsid w:val="00D930DA"/>
    <w:rsid w:val="00E4298E"/>
    <w:rsid w:val="00E94B28"/>
    <w:rsid w:val="00EA79C6"/>
    <w:rsid w:val="00EB6908"/>
    <w:rsid w:val="00F20505"/>
    <w:rsid w:val="00FC2F87"/>
    <w:rsid w:val="00FE0BD3"/>
    <w:rsid w:val="00FE4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EA5"/>
  </w:style>
  <w:style w:type="paragraph" w:styleId="Heading2">
    <w:name w:val="heading 2"/>
    <w:basedOn w:val="Normal"/>
    <w:link w:val="Heading2Char"/>
    <w:uiPriority w:val="9"/>
    <w:qFormat/>
    <w:rsid w:val="00E94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B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4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4B28"/>
    <w:rPr>
      <w:color w:val="0000FF"/>
      <w:u w:val="single"/>
    </w:rPr>
  </w:style>
  <w:style w:type="character" w:customStyle="1" w:styleId="toctoggle">
    <w:name w:val="toctoggle"/>
    <w:basedOn w:val="DefaultParagraphFont"/>
    <w:rsid w:val="00E94B28"/>
  </w:style>
  <w:style w:type="character" w:customStyle="1" w:styleId="tocnumber">
    <w:name w:val="tocnumber"/>
    <w:basedOn w:val="DefaultParagraphFont"/>
    <w:rsid w:val="00E94B28"/>
  </w:style>
  <w:style w:type="character" w:customStyle="1" w:styleId="toctext">
    <w:name w:val="toctext"/>
    <w:basedOn w:val="DefaultParagraphFont"/>
    <w:rsid w:val="00E94B28"/>
  </w:style>
  <w:style w:type="character" w:customStyle="1" w:styleId="editsection">
    <w:name w:val="editsection"/>
    <w:basedOn w:val="DefaultParagraphFont"/>
    <w:rsid w:val="00E94B28"/>
  </w:style>
  <w:style w:type="character" w:customStyle="1" w:styleId="mw-headline">
    <w:name w:val="mw-headline"/>
    <w:basedOn w:val="DefaultParagraphFont"/>
    <w:rsid w:val="00E94B28"/>
  </w:style>
  <w:style w:type="character" w:customStyle="1" w:styleId="texhtml">
    <w:name w:val="texhtml"/>
    <w:basedOn w:val="DefaultParagraphFont"/>
    <w:rsid w:val="00E94B28"/>
  </w:style>
  <w:style w:type="paragraph" w:styleId="BalloonText">
    <w:name w:val="Balloon Text"/>
    <w:basedOn w:val="Normal"/>
    <w:link w:val="BalloonTextChar"/>
    <w:uiPriority w:val="99"/>
    <w:semiHidden/>
    <w:unhideWhenUsed/>
    <w:rsid w:val="00E9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28"/>
    <w:rPr>
      <w:rFonts w:ascii="Tahoma" w:hAnsi="Tahoma" w:cs="Tahoma"/>
      <w:sz w:val="16"/>
      <w:szCs w:val="16"/>
    </w:rPr>
  </w:style>
  <w:style w:type="paragraph" w:styleId="ListParagraph">
    <w:name w:val="List Paragraph"/>
    <w:basedOn w:val="Normal"/>
    <w:uiPriority w:val="34"/>
    <w:qFormat/>
    <w:rsid w:val="005F75CD"/>
    <w:pPr>
      <w:ind w:left="720"/>
      <w:contextualSpacing/>
    </w:pPr>
  </w:style>
  <w:style w:type="character" w:styleId="PlaceholderText">
    <w:name w:val="Placeholder Text"/>
    <w:basedOn w:val="DefaultParagraphFont"/>
    <w:uiPriority w:val="99"/>
    <w:semiHidden/>
    <w:rsid w:val="00EB6908"/>
    <w:rPr>
      <w:color w:val="808080"/>
    </w:rPr>
  </w:style>
  <w:style w:type="table" w:styleId="TableGrid">
    <w:name w:val="Table Grid"/>
    <w:basedOn w:val="TableNormal"/>
    <w:uiPriority w:val="59"/>
    <w:rsid w:val="00A909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2781233">
      <w:bodyDiv w:val="1"/>
      <w:marLeft w:val="0"/>
      <w:marRight w:val="0"/>
      <w:marTop w:val="0"/>
      <w:marBottom w:val="0"/>
      <w:divBdr>
        <w:top w:val="none" w:sz="0" w:space="0" w:color="auto"/>
        <w:left w:val="none" w:sz="0" w:space="0" w:color="auto"/>
        <w:bottom w:val="none" w:sz="0" w:space="0" w:color="auto"/>
        <w:right w:val="none" w:sz="0" w:space="0" w:color="auto"/>
      </w:divBdr>
      <w:divsChild>
        <w:div w:id="756705916">
          <w:marLeft w:val="0"/>
          <w:marRight w:val="0"/>
          <w:marTop w:val="0"/>
          <w:marBottom w:val="0"/>
          <w:divBdr>
            <w:top w:val="none" w:sz="0" w:space="0" w:color="auto"/>
            <w:left w:val="none" w:sz="0" w:space="0" w:color="auto"/>
            <w:bottom w:val="none" w:sz="0" w:space="0" w:color="auto"/>
            <w:right w:val="none" w:sz="0" w:space="0" w:color="auto"/>
          </w:divBdr>
        </w:div>
        <w:div w:id="1542356508">
          <w:marLeft w:val="0"/>
          <w:marRight w:val="0"/>
          <w:marTop w:val="0"/>
          <w:marBottom w:val="0"/>
          <w:divBdr>
            <w:top w:val="none" w:sz="0" w:space="0" w:color="auto"/>
            <w:left w:val="none" w:sz="0" w:space="0" w:color="auto"/>
            <w:bottom w:val="none" w:sz="0" w:space="0" w:color="auto"/>
            <w:right w:val="none" w:sz="0" w:space="0" w:color="auto"/>
          </w:divBdr>
        </w:div>
        <w:div w:id="402068155">
          <w:marLeft w:val="0"/>
          <w:marRight w:val="0"/>
          <w:marTop w:val="0"/>
          <w:marBottom w:val="0"/>
          <w:divBdr>
            <w:top w:val="none" w:sz="0" w:space="0" w:color="auto"/>
            <w:left w:val="none" w:sz="0" w:space="0" w:color="auto"/>
            <w:bottom w:val="none" w:sz="0" w:space="0" w:color="auto"/>
            <w:right w:val="none" w:sz="0" w:space="0" w:color="auto"/>
          </w:divBdr>
        </w:div>
        <w:div w:id="208611913">
          <w:marLeft w:val="0"/>
          <w:marRight w:val="0"/>
          <w:marTop w:val="0"/>
          <w:marBottom w:val="0"/>
          <w:divBdr>
            <w:top w:val="none" w:sz="0" w:space="0" w:color="auto"/>
            <w:left w:val="none" w:sz="0" w:space="0" w:color="auto"/>
            <w:bottom w:val="none" w:sz="0" w:space="0" w:color="auto"/>
            <w:right w:val="none" w:sz="0" w:space="0" w:color="auto"/>
          </w:divBdr>
        </w:div>
        <w:div w:id="1107307043">
          <w:marLeft w:val="0"/>
          <w:marRight w:val="0"/>
          <w:marTop w:val="0"/>
          <w:marBottom w:val="0"/>
          <w:divBdr>
            <w:top w:val="none" w:sz="0" w:space="0" w:color="auto"/>
            <w:left w:val="none" w:sz="0" w:space="0" w:color="auto"/>
            <w:bottom w:val="none" w:sz="0" w:space="0" w:color="auto"/>
            <w:right w:val="none" w:sz="0" w:space="0" w:color="auto"/>
          </w:divBdr>
        </w:div>
        <w:div w:id="74714271">
          <w:marLeft w:val="120"/>
          <w:marRight w:val="0"/>
          <w:marTop w:val="120"/>
          <w:marBottom w:val="120"/>
          <w:divBdr>
            <w:top w:val="single" w:sz="4" w:space="0" w:color="AAAAAA"/>
            <w:left w:val="single" w:sz="4" w:space="0" w:color="AAAAAA"/>
            <w:bottom w:val="single" w:sz="4" w:space="0" w:color="AAAAAA"/>
            <w:right w:val="single" w:sz="4" w:space="0" w:color="AAAAAA"/>
          </w:divBdr>
        </w:div>
        <w:div w:id="50659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mst.edu/~psyworld/virtualstat/tukeys/tukeyformulas.html" TargetMode="External"/><Relationship Id="rId13" Type="http://schemas.openxmlformats.org/officeDocument/2006/relationships/hyperlink" Target="http://faculty.vassar.edu/lowry/ch14a.html" TargetMode="External"/><Relationship Id="rId3" Type="http://schemas.openxmlformats.org/officeDocument/2006/relationships/styles" Target="styles.xml"/><Relationship Id="rId7" Type="http://schemas.openxmlformats.org/officeDocument/2006/relationships/hyperlink" Target="http://faculty.vassar.edu/lowry/tabs.html" TargetMode="External"/><Relationship Id="rId12" Type="http://schemas.openxmlformats.org/officeDocument/2006/relationships/hyperlink" Target="http://en.wikipedia.org/wiki/Kruskal-Wallis_one-way_analysis_of_vari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ocr.ucla.edu/Applets.dir/F_Table.html%20" TargetMode="External"/><Relationship Id="rId11" Type="http://schemas.openxmlformats.org/officeDocument/2006/relationships/hyperlink" Target="http://en.wikipedia.org/wiki/Analysis_of_variance" TargetMode="External"/><Relationship Id="rId5" Type="http://schemas.openxmlformats.org/officeDocument/2006/relationships/webSettings" Target="webSettings.xml"/><Relationship Id="rId15" Type="http://schemas.openxmlformats.org/officeDocument/2006/relationships/hyperlink" Target="http://homepages.ucalgary.ca/~jefox/Kruskal%20and%20Wallis%201952.pdf" TargetMode="External"/><Relationship Id="rId10" Type="http://schemas.openxmlformats.org/officeDocument/2006/relationships/hyperlink" Target="http://www.anselm.edu/homepage/jpitocch/anova/multcomp.html" TargetMode="External"/><Relationship Id="rId4" Type="http://schemas.openxmlformats.org/officeDocument/2006/relationships/settings" Target="settings.xml"/><Relationship Id="rId9" Type="http://schemas.openxmlformats.org/officeDocument/2006/relationships/hyperlink" Target="http://en.wikipedia.org/wiki/Post-hoc_analysis" TargetMode="External"/><Relationship Id="rId14" Type="http://schemas.openxmlformats.org/officeDocument/2006/relationships/hyperlink" Target="http://homepages.ucalgary.ca/~jefox/Kruskal%20and%20Wallis%2019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62C98-734D-4EF5-A2EE-2B42208D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Neurology</dc:creator>
  <cp:keywords/>
  <dc:description/>
  <cp:lastModifiedBy> </cp:lastModifiedBy>
  <cp:revision>2</cp:revision>
  <dcterms:created xsi:type="dcterms:W3CDTF">2009-04-02T00:19:00Z</dcterms:created>
  <dcterms:modified xsi:type="dcterms:W3CDTF">2009-04-02T00:19:00Z</dcterms:modified>
</cp:coreProperties>
</file>