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Calibri" w:hAnsi="Calibri" w:eastAsia="Microsoft YaHei"/>
          <w:b w:val="0"/>
          <w:color w:val="000000"/>
          <w:sz w:val="52"/>
        </w:rPr>
        <w:t>Data Aggregation Studio 使用说明白皮书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555555"/>
          <w:sz w:val="20"/>
        </w:rPr>
        <w:t>版本：2026-05-30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555555"/>
          <w:sz w:val="20"/>
        </w:rPr>
        <w:t>适用系统：Data Aggregation Studio 在线 Web 控制台</w:t>
      </w:r>
    </w:p>
    <w:p/>
    <w:p>
      <w:pPr>
        <w:spacing w:before="0" w:after="120" w:line="300" w:lineRule="auto"/>
      </w:pPr>
      <w:r>
        <w:rPr>
          <w:rFonts w:ascii="Calibri" w:hAnsi="Calibri" w:eastAsia="Microsoft YaHei"/>
        </w:rPr>
        <w:t>适用读者：业务使用者、项目管理员、数据集成实施人员</w:t>
      </w:r>
    </w:p>
    <w:p>
      <w:pPr>
        <w:pStyle w:val="Heading2"/>
      </w:pPr>
      <w:r>
        <w:t>1. 产品定位与适用场景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Data Aggregation Studio 是围绕 DataAggregation 引擎构建的一体化数据集成与治理工作台。它把数据源管理、模型同步、数据采集、脚本开发、工作流编排、数据服务发布、数据接入服务、质量治理和运行监控集中到一个 Web 控制台中，帮助团队用可配置的方式完成“数据从哪里来、写到哪里去、如何调度、如何对外服务、如何监控”的全流程管理。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典型使用场景如下：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场景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Studio 能力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适用用户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数据源统一管理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维护 MySQL、FTP/SFTP、MinIO、消息队列、HTTP 等连接信息，测试可用性并纳入管理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数据平台管理员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数据模型同步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从数据源发现表、文件、主题等模型，形成可选择、可治理的数据资产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数据资产管理员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数据采集与写入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配置 Reader、Transformer、Writer，按字段映射把数据从源端同步到目标端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数据集成实施人员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任务编排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 DAG 工作流串联采集任务、质量任务、脚本、HTTP 和 Shell 节点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调度管理员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数据服务发布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把数据库表或 SQL 查询发布成可调用 REST/SOAP 服务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API 服务维护人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数据接入服务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暴露接收数据的 REST/SOAP 接口，把外部提交的数据写入数据库表或文件模型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数据接入维护人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质量治理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维护质量规则和质量任务，查看质量指标、问题和运行结果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数据治理人员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运行监控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查看任务日志、服务调用日志、接入运行日志、调用趋势和异常聚合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运维与值班人员</w:t>
            </w:r>
          </w:p>
        </w:tc>
      </w:tr>
    </w:tbl>
    <w:p/>
    <w:p>
      <w:pPr>
        <w:pStyle w:val="Heading2"/>
      </w:pPr>
      <w:r>
        <w:t>2. 核心概念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概念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租户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平台最高隔离单元。不同租户之间的数据源、任务、服务和用户权限相互隔离。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租户下的工作空间。绝大多数业务资产都归属到项目，页面菜单通常要求先进入项目。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角色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控制用户可见菜单和可操作范围。常见角色包括系统管理员、租户管理员、项目管理员和普通成员。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数据源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对外部系统连接的抽象，例如 MySQL、FTP、SFTP、MinIO、Kafka、HTTP API。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数据源中的可操作对象，例如数据库表、文件路径、消息主题或 HTTP 返回结构。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采集任务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一条从源端读取、经过字段映射或转换、写入目标端的同步配置。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工作流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由多个节点组成的 DAG 编排，可手动触发或配置定时调度。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读向 API，把数据库表或 SQL 查询发布为 REST/SOAP 查询服务。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数据接入服务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写向 API，接收外部 JSON、Form 或 SOAP 数据，并写入数据库表或文件模型。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订阅方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调用开放服务的业务方标识。启用 Token 时每个订阅方对应一个 Token；免 Token 时使用默认订阅方记录日志。</w:t>
            </w:r>
          </w:p>
        </w:tc>
      </w:tr>
    </w:tbl>
    <w:p/>
    <w:p>
      <w:pPr>
        <w:pStyle w:val="Heading2"/>
      </w:pPr>
      <w:r>
        <w:t>3. 登录与工作台导航</w:t>
      </w:r>
    </w:p>
    <w:p>
      <w:pPr>
        <w:pStyle w:val="Heading3"/>
      </w:pPr>
      <w:r>
        <w:t>3.1 登录入口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访问 Studio Web 控制台后进入登录页。初始化环境默认管理员账号为：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默认值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`admin`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密码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`admin123`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生产环境建议由统一网关或平台账号体系接入，不建议长期使用默认账号。登录成功后，系统会根据当前用户解析租户、项目和角色，并加载可见菜单。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4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3-1 登录页与默认管理员入口</w:t>
      </w:r>
    </w:p>
    <w:p>
      <w:pPr>
        <w:pStyle w:val="Heading3"/>
      </w:pPr>
      <w:r>
        <w:t>3.2 项目上下文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大部分业务页面都需要当前项目上下文。如果登录后未加入任何项目，系统会进入“访问申请中心”，用户可申请加入项目，管理员审批后刷新权限进入工作台。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常见处理方式：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当前账号有项目权限：进入总览页，在顶部确认租户和项目。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当前账号没有项目：进入访问申请中心，选择可申请项目并提交说明。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项目刚审批通过但仍不可见：点击刷新权限或重新登录。</w:t>
      </w:r>
    </w:p>
    <w:p>
      <w:pPr>
        <w:pStyle w:val="Heading3"/>
      </w:pPr>
      <w:r>
        <w:t>3.3 菜单分组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当前 Web 控制台主菜单按业务域组织：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分组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页面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工作空间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总览、能力矩阵、访问申请中心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查看平台概览、数据源能力、项目申请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数据资产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元模型中心、数据源中心、模型中心、模型统计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管理数据源、模型和资产统计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数据采集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字段映射规则、采集任务、采集运行、运行指标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配置同步任务并查看运行状态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数据开发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数据开发、工作流、运行实例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编写脚本、编排任务、查看 DAG 运行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数据服务、数据接入服务、接入服务监控、数据服务监控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发布读向 API、写向 API 并监控调用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数据质量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质量规则、质量任务、质量运行、质量指标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配置质量检查并查看治理结果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系统管理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系统管理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管理租户、项目、成员、角色和权限</w:t>
            </w:r>
          </w:p>
        </w:tc>
      </w:tr>
    </w:tbl>
    <w:p/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3-2 工作台总览与左侧菜单</w:t>
      </w:r>
    </w:p>
    <w:p>
      <w:pPr>
        <w:pStyle w:val="Heading2"/>
      </w:pPr>
      <w:r>
        <w:t>4. 数据资产管理</w:t>
      </w:r>
    </w:p>
    <w:p>
      <w:pPr>
        <w:pStyle w:val="Heading3"/>
      </w:pPr>
      <w:r>
        <w:t>4.1 元模型中心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元模型中心用于维护动态表单和模型元数据结构。业务使用者通常不需要频繁修改元模型，但需要理解它决定了数据源、模型和运行参数页面展示哪些字段。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使用建议：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技术元模型按数据源类型分组，例如 MySQL 表、FTP 文件、MinIO 对象。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业务元模型用于补充业务域、负责人、数据分级等治理字段。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采集参数模型用于驱动 Reader、Writer、Transformer 的运行参数表单。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元模型变更会影响后续创建数据源、模型和采集任务时的表单结构，建议由管理员维护。</w:t>
      </w:r>
    </w:p>
    <w:p>
      <w:pPr>
        <w:pStyle w:val="Heading3"/>
      </w:pPr>
      <w:r>
        <w:t>4.2 数据源中心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数据源是所有采集、模型、服务和接入能力的基础。创建数据源时先选择插件类型，页面会根据元模型展示对应连接表单。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基础流程：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进入“数据资产 / 数据源中心”。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点击新建数据源。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填写数据源名称，选择插件类型。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填写技术元数据，例如主机、端口、数据库、账号、路径或连接参数。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选择是否启用、是否纳入平台管理。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点击连接测试，确认可访问。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保存数据源。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注意事项：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敏感字段在页面和接口返回中会做掩码，保存时以表单提交值为准。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“启用”表示数据源可被页面和任务使用；“纳入管理”表示该类型进入模型同步、采集任务等运行配置范围。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文件类数据源需要确认目录权限，避免任务运行时因为无写权限等待或失败。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datasourc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4-1 数据源中心列表与连接管理入口</w:t>
      </w:r>
    </w:p>
    <w:p>
      <w:pPr>
        <w:pStyle w:val="Heading3"/>
      </w:pPr>
      <w:r>
        <w:t>4.3 模型中心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模型中心用于管理数据源中的表、文件、主题等对象。采集任务、数据服务和数据接入服务都依赖模型选择。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常见操作：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操作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同步全部模型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从指定数据源发现全部可识别模型，适合首次接入。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同步选中模型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只同步指定表或对象，适合生产环境降低扫描范围。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查看模型详情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查看物理定位、字段、技术元数据和业务元数据。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预览模型数据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对可读模型抽样查看数据。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维护血缘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在模型间手工补充上下游关系。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使用建议：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新建采集任务或服务前，先确认源端和目标端模型已同步。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如果数据库表结构变更，应重新同步对应模型，避免字段映射仍使用旧字段。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文件模型要关注文件格式、路径、字段分隔符和追加写能力。</w:t>
      </w:r>
    </w:p>
    <w:p>
      <w:pPr>
        <w:pStyle w:val="Heading3"/>
      </w:pPr>
      <w:r>
        <w:t>4.4 模型统计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模型统计页用于按数据源类型、模型类型、业务元数据等条件统计资产分布。它主要帮助管理员评估哪些数据源和模型已纳入治理范围。</w:t>
      </w:r>
    </w:p>
    <w:p>
      <w:pPr>
        <w:pStyle w:val="Heading2"/>
      </w:pPr>
      <w:r>
        <w:t>5. 数据采集</w:t>
      </w:r>
    </w:p>
    <w:p>
      <w:pPr>
        <w:pStyle w:val="Heading3"/>
      </w:pPr>
      <w:r>
        <w:t>5.1 字段映射规则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字段映射规则用于复用字段命名、类型转换或字段对齐经验。创建采集任务时可参考规则，但最终以任务内字段映射配置为准。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建议按业务域维护规则，例如客户、订单、商品、组织机构等常见模型，降低重复配置。</w:t>
      </w:r>
    </w:p>
    <w:p>
      <w:pPr>
        <w:pStyle w:val="Heading3"/>
      </w:pPr>
      <w:r>
        <w:t>5.2 采集任务流程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采集任务用于定义一次从源端到目标端的数据同步。典型配置流程如下：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sz w:val="17"/>
              </w:rPr>
              <w:t>选择源数据源与模型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选择目标数据源与模型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配置 Reader / Writer 运行参数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配置字段映射与转换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配置调度或保存为可编排任务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发布上线并触发运行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关键配置项：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配置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源端绑定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选择源数据源、源模型和 Reader 参数。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目标端绑定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选择目标数据源、目标模型和 Writer 参数。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字段映射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把源字段映射到目标字段，可补充类型和默认值。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运行参数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由插件元模型渲染，控制批大小、写入模式、文件格式、HTTP 参数等。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调度配置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可配置 Cron、时区和启停状态，也可交给工作流统一调度。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预览配置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保存前查看生成的任务配置，确认 Reader、Writer 和字段映射正确。</w:t>
            </w:r>
          </w:p>
        </w:tc>
      </w:tr>
    </w:tbl>
    <w:p/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collection-task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5-1 采集任务管理与任务筛选</w:t>
      </w:r>
    </w:p>
    <w:p>
      <w:pPr>
        <w:pStyle w:val="Heading3"/>
      </w:pPr>
      <w:r>
        <w:t>5.3 Writer 参数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Writer 参数作用于写入插件，即目标端如何落库、落文件或写消息。它不是源端读取参数，也不是字段映射本身。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常见例子：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数据库 Writer：写入模式、批量大小、目标列、主键或冲突策略。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文件 Writer：文件格式、分隔符、是否追加、输出路径、文件名策略。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HTTP Writer：请求方法、请求头、Body 格式、响应成功判定。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如果页面提供表单渲染，优先使用表单；只有高级场景才直接编辑 JSON 配置。</w:t>
      </w:r>
    </w:p>
    <w:p>
      <w:pPr>
        <w:pStyle w:val="Heading3"/>
      </w:pPr>
      <w:r>
        <w:t>5.4 运行记录与指标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采集任务上线后可以手动触发或由调度触发。运行完成后应查看：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任务状态：成功、失败、运行中、排队中。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日志：Reader、Transformer、Writer 的关键日志。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指标：读取成功数、写入成功数、失败数、过滤数。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错误摘要：连接失败、权限不足、字段不存在、类型转换失败等。</w:t>
      </w:r>
    </w:p>
    <w:p>
      <w:pPr>
        <w:pStyle w:val="Heading2"/>
      </w:pPr>
      <w:r>
        <w:t>6. 数据开发与工作流</w:t>
      </w:r>
    </w:p>
    <w:p>
      <w:pPr>
        <w:pStyle w:val="Heading3"/>
      </w:pPr>
      <w:r>
        <w:t>6.1 数据开发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数据开发页提供脚本目录和脚本编辑能力。当前主要面向 SQL 和 Java 脚本。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脚本类型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典型用途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SQL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查询数据、验证模型、准备测试数据、排查任务问题。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Java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编写复杂调用逻辑，例如调用 WebService、解析 XML、组合多个接口。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如果运行环境支持，可用于轻量处理和验证。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使用建议：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SQL 脚本应选择正确的数据源后执行。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Java 脚本可通过上下文读取运行参数和写日志，适合封装复杂接口调用。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脚本保存后可以被工作流的“数据脚本”节点引用。</w:t>
      </w:r>
    </w:p>
    <w:p>
      <w:pPr>
        <w:pStyle w:val="Heading3"/>
      </w:pPr>
      <w:r>
        <w:t>6.2 工作流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工作流用于把多个任务和脚本编排成 DAG。一个工作流可以包含采集任务、质量任务、数据脚本、HTTP 节点和 Shell 节点。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配置流程：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进入“数据开发 / 工作流”。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新建工作流，填写编码、名称和调度配置。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在画布上添加节点。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选择节点类型并绑定资源，例如采集任务、质量任务或脚本。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连接节点边，形成执行顺序。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保存草稿并发布。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手动触发或等待调度触发。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节点说明：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节点类型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采集任务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执行已上线的数据采集任务。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质量任务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执行已上线的数据质量检查。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数据脚本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执行已保存的 SQL/Java 等脚本。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调用外部 HTTP 或 Studio 开放接口，可用于接口链路编排。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SHELL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执行命令行脚本，通常用于运维集成场景。</w:t>
            </w:r>
          </w:p>
        </w:tc>
      </w:tr>
    </w:tbl>
    <w:p/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workflow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6-1 工作流编排列表与正式 WebService 示例任务</w:t>
      </w:r>
    </w:p>
    <w:p>
      <w:pPr>
        <w:pStyle w:val="Heading3"/>
      </w:pPr>
      <w:r>
        <w:t>6.3 运行实例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运行实例页展示工作流和节点运行情况。排障时建议按以下顺序查看：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运行状态和错误消息。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节点运行日志。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节点输入配置和输出结果。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指标摘要。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Worker 是否在线。</w:t>
      </w:r>
    </w:p>
    <w:p>
      <w:pPr>
        <w:pStyle w:val="Heading2"/>
      </w:pPr>
      <w:r>
        <w:t>7. 数据服务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数据服务是读向 API 发布能力，用于把数据库表或 SQL 查询开放给外部系统调用。</w:t>
      </w:r>
    </w:p>
    <w:p>
      <w:pPr>
        <w:pStyle w:val="Heading3"/>
      </w:pPr>
      <w:r>
        <w:t>7.1 创建数据服务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基础流程：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sz w:val="17"/>
              </w:rPr>
              <w:t>基础信息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选择数据源和模型，或填写 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解析字段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配置请求参数、返回参数和发布参数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配置 Token 策略与 WebService 设置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调试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发布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关键配置：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配置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服务编码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开放接口路径的一部分，建议使用英文、数字和下划线。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服务名称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页面展示名称。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来源类型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数据表模式或 SQL 模式。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请求参数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内部查询条件，绑定数据库字段和查询操作符。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返回参数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控制对外返回哪些字段、字段别名和说明。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发布参数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控制对外调用时参数从 Body、Query 或 Header 读取。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Token 策略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可要求订阅 Token，也可配置免 Token。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WebService 设置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可选启用 SOAP/WSDL 访问方式。</w:t>
            </w:r>
          </w:p>
        </w:tc>
      </w:tr>
    </w:tbl>
    <w:p/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data-servic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7-1 数据服务列表与发布地址</w:t>
      </w:r>
    </w:p>
    <w:p>
      <w:pPr>
        <w:pStyle w:val="Heading3"/>
      </w:pPr>
      <w:r>
        <w:t>7.2 REST 调用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数据服务发布后会生成开放路径：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sz w:val="17"/>
              </w:rPr>
              <w:t>/openapi/data-services/{serviceCode}/{serviceKey}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如果启用 Token，调用方需要在 Header 中传：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sz w:val="17"/>
              </w:rPr>
              <w:t>X-Data-Service-Token: &lt;token&gt;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如果配置为免 Token，系统会使用默认订阅方记录访问日志。</w:t>
      </w:r>
    </w:p>
    <w:p>
      <w:pPr>
        <w:pStyle w:val="Heading3"/>
      </w:pPr>
      <w:r>
        <w:t>7.3 Token 与默认订阅方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模式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调用要求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日志归属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需要 Token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调用必须携带有效 `X-Data-Service-Token`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对应订阅方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免 Token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不需要携带 Token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默认订阅方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建议生产环境优先启用 Token。免 Token 适合内网可信系统、临时演示或网关已做鉴权的场景。</w:t>
      </w:r>
    </w:p>
    <w:p>
      <w:pPr>
        <w:pStyle w:val="Heading3"/>
      </w:pPr>
      <w:r>
        <w:t>7.4 调试与监控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管理端调试用于验证配置是否正确。开放调用日志和监控用于观察真实调用情况。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应重点关注：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调用次数、成功率、失败率。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平均耗时和慢调用。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订阅方分布。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错误码和错误摘要。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最近访问日志。</w:t>
      </w:r>
    </w:p>
    <w:p>
      <w:pPr>
        <w:pStyle w:val="Heading2"/>
      </w:pPr>
      <w:r>
        <w:t>8. 数据接入服务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数据接入服务是写向 API 接收能力，与数据服务方向相反。它接收外部系统提交的数据，并按字段映射写入数据库表或文件模型。</w:t>
      </w:r>
    </w:p>
    <w:p>
      <w:pPr>
        <w:pStyle w:val="Heading3"/>
      </w:pPr>
      <w:r>
        <w:t>8.1 创建数据接入服务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页面按三个阶段配置：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基础信息和写入目标配置。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字段映射配置。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发布调试。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基础流程：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sz w:val="17"/>
              </w:rPr>
              <w:t>填写服务编码和名称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选择目标类型、数据源类型、数据源和模型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配置 Writer 运行参数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配置字段来源和目标字段映射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配置 Token 策略与 WebService 设置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调试并发布</w:t>
            </w:r>
          </w:p>
        </w:tc>
      </w:tr>
    </w:tbl>
    <w:p/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data-ingestion-servic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8-1 数据接入服务列表与目标信息</w:t>
      </w:r>
    </w:p>
    <w:p>
      <w:pPr>
        <w:pStyle w:val="Heading3"/>
      </w:pPr>
      <w:r>
        <w:t>8.2 请求格式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首版主要支持：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格式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JSON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支持根对象、根数组或通过数据节点路径定位数组。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Form / Query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按单行记录解析，适合表单提交或简单接口。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SOAP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 WebService SOAP Body 解析字段，适合传统系统对接。</w:t>
            </w:r>
          </w:p>
        </w:tc>
      </w:tr>
    </w:tbl>
    <w:p/>
    <w:p>
      <w:pPr>
        <w:pStyle w:val="Heading3"/>
      </w:pPr>
      <w:r>
        <w:t>8.3 字段映射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字段映射决定“从请求哪里取值”和“写入目标哪个字段”。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来源位置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Body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 JSON Body 或 SOAP Body 中读取字段路径。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Form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从表单字段读取。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Query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 URL 查询参数读取。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Header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从请求头或 SOAP Header 中读取。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字段映射建议：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目标字段应来自目标模型，避免手工输入不存在字段。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必填字段要谨慎配置，缺失会导致本次请求失败。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默认值只适合静态值，例如固定来源渠道；动态时间建议由调用方传入。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混合模式可同时从 Body、Query 和 Header 取值。</w:t>
      </w:r>
    </w:p>
    <w:p>
      <w:pPr>
        <w:pStyle w:val="Heading3"/>
      </w:pPr>
      <w:r>
        <w:t>8.4 写入目标配置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数据接入服务复用 DataAggregation Writer 插件完成写入。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目标类型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写入数据库表，常见目标为 MySQL 表。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写入文件模型，例如 CSV、JSONL、JSON、EFILE 等，能力取决于数据源和 Writer 参数。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注意事项：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选择 FTP/SFTP/MinIO 数据源时，应选择对应文件模型；选择数据库数据源时，应选择数据库表模型。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追加写通常更适合 CSV 和 JSONL；JSON 或 EFILE 更适合动态文件名或避免覆盖的写入策略。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Writer 参数表单由运行参数模型渲染，优先使用页面表单而不是手写 JSON。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webservice-setting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8-2 数据接入服务编辑页、Writer 参数和 WebService 设置</w:t>
      </w:r>
    </w:p>
    <w:p>
      <w:pPr>
        <w:pStyle w:val="Heading3"/>
      </w:pPr>
      <w:r>
        <w:t>8.5 运行日志与监控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每次开放调用都会生成接入访问日志。对于写入执行，系统会记录 JobContainer 线程内的关键日志，用于隔离查看本次请求的系统日志。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排障时关注：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请求 ID。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服务编码和订阅方。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接收行数、成功行数、失败行数。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HTTP 状态和错误摘要。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Writer 插件日志和 JobContainer 日志。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目标表或目标文件是否实际产生数据。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data-ingestion-monito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8-3 服务接入监控、指标卡片与调用统计</w:t>
      </w:r>
    </w:p>
    <w:p>
      <w:pPr>
        <w:pStyle w:val="Heading2"/>
      </w:pPr>
      <w:r>
        <w:t>9. WebService 使用指南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Studio 的 WebService 是可选协议适配层，REST 接口仍保持可用。WebService 适合传统系统、ESB、SOAP 客户端和只支持 WSDL 的集成平台。</w:t>
      </w:r>
    </w:p>
    <w:p>
      <w:pPr>
        <w:pStyle w:val="Heading3"/>
      </w:pPr>
      <w:r>
        <w:t>9.1 WSDL 与 SOAP 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类型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结构地址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调用地址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`/openapi/ws/data-services/{serviceCode}/{serviceKey}?wsdl`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`/openapi/ws/data-services/{serviceCode}/{serviceKey}`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数据接入服务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`/openapi/ws/data-ingestion-services/{serviceCode}/{serviceKey}?wsdl`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`/openapi/ws/data-ingestion-services/{serviceCode}/{serviceKey}`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使用规则：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获取结构：浏览器或 SOAP 工具访问 `?wsdl`。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获取数据或提交数据：去掉 `?wsdl`，使用 `POST` 发送 SOAP Envelope。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当前示例环境中建议使用小写 `?wsdl`。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不要用前端页面地址导入 WSDL，应使用后端开放接口地址。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3844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webservice-wsd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9-1 浏览器中打开数据服务 WSDL 结构</w:t>
      </w:r>
    </w:p>
    <w:p>
      <w:pPr>
        <w:pStyle w:val="Heading3"/>
      </w:pPr>
      <w:r>
        <w:t>9.2 数据服务 SOAP 查询示例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示例数据服务：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服务编码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`formal_ws_order_query_20260530005212`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结构地址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`http://127.0.0.1:18080/openapi/ws/data-services/formal_ws_order_query_20260530005212/LPlfDE7Y5-3s6khe?wsdl`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调用地址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`http://127.0.0.1:18080/openapi/ws/data-services/formal_ws_order_query_20260530005212/LPlfDE7Y5-3s6khe`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Token 策略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免 Token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请求示例：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sz w:val="17"/>
              </w:rPr>
              <w:t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&lt;soapenv:Envelope xmlns:soapenv="http://schemas.xmlsoap.org/soap/envelope/"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          xmlns:tns="http://studio.jdragon.com/demo/order-service/20260530005212"&gt;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&lt;soapenv:Body&gt;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&lt;tns:queryOrders&gt;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&lt;pageNum&gt;1&lt;/pageNum&gt;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&lt;pageSize&gt;10&lt;/pageSize&gt;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&lt;orderStatus&gt;READY&lt;/orderStatus&gt;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&lt;/tns:queryOrders&gt;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&lt;/soapenv:Body&gt;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&lt;/soapenv:Envelope&gt;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PowerShell 调用示例：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sz w:val="17"/>
              </w:rPr>
              <w:t>$body = @'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&lt;soapenv:Envelope xmlns:soapenv="http://schemas.xmlsoap.org/soap/envelope/"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          xmlns:tns="http://studio.jdragon.com/demo/order-service/20260530005212"&gt;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&lt;soapenv:Body&gt;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&lt;tns:queryOrders&gt;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&lt;pageNum&gt;1&lt;/pageNum&gt;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&lt;pageSize&gt;10&lt;/pageSize&gt;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&lt;orderStatus&gt;READY&lt;/orderStatus&gt;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&lt;/tns:queryOrders&gt;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&lt;/soapenv:Body&gt;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&lt;/soapenv:Envelope&gt;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'@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Invoke-WebRequest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-Method Post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-Uri "http://127.0.0.1:18080/openapi/ws/data-services/formal_ws_order_query_20260530005212/LPlfDE7Y5-3s6khe"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-ContentType "text/xml; charset=utf-8"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-Headers @{ SOAPAction = "http://studio.jdragon.com/demo/order-service/20260530005212/queryOrders" }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-Body $body</w:t>
            </w:r>
          </w:p>
        </w:tc>
      </w:tr>
    </w:tbl>
    <w:p/>
    <w:p>
      <w:pPr>
        <w:pStyle w:val="Heading3"/>
      </w:pPr>
      <w:r>
        <w:t>9.3 数据接入 SOAP 写入示例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示例接入服务：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服务编码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`formal_ws_order_ingest_20260530005212`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结构地址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`http://127.0.0.1:18080/openapi/ws/data-ingestion-services/formal_ws_order_ingest_20260530005212/9Wsa-4KA9fnS1ybq?wsdl`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调用地址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`http://127.0.0.1:18080/openapi/ws/data-ingestion-services/formal_ws_order_ingest_20260530005212/9Wsa-4KA9fnS1ybq`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Token 策略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免 Token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请求示例：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sz w:val="17"/>
              </w:rPr>
              <w:t>&lt;?xml version="1.0" encoding="UTF-8"?&gt;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&lt;soapenv:Envelope xmlns:soapenv="http://schemas.xmlsoap.org/soap/envelope/"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          xmlns:tns="http://studio.jdragon.com/demo/order-ingestion/20260530005212"&gt;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&lt;soapenv:Header&gt;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&lt;sourceChannel&gt;FORMAL_WS_TASK&lt;/sourceChannel&gt;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&lt;/soapenv:Header&gt;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&lt;soapenv:Body&gt;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&lt;tns:submitOrders&gt;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&lt;records&gt;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&lt;record&gt;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  &lt;orderId&gt;1001&lt;/orderId&gt;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  &lt;customerName&gt;Alice Formal WS&lt;/customerName&gt;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  &lt;amount&gt;125.50&lt;/amount&gt;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  &lt;ingestedAt&gt;2026-05-30 00:52:20&lt;/ingestedAt&gt;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  &lt;/record&gt;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  &lt;/records&gt;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  &lt;/tns:submitOrders&gt;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 xml:space="preserve">  &lt;/soapenv:Body&gt;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sz w:val="17"/>
              </w:rPr>
              <w:t>&lt;/soapenv:Envelope&gt;</w:t>
            </w:r>
          </w:p>
        </w:tc>
      </w:tr>
    </w:tbl>
    <w:p/>
    <w:p>
      <w:pPr>
        <w:pStyle w:val="Heading3"/>
      </w:pPr>
      <w:r>
        <w:t>9.4 SOAP 工具常见问题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现象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常见原因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WSDL 能在浏览器打开，但工具提示为空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工具使用了大写 `?WSDL` 或导入了调用地址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使用小写 `?wsdl` 的结构地址。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调用返回 SOAP Fault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Token 缺失、服务未发布、服务下线、字段必填失败或请求体不符合配置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 faultstring 和服务调用日志。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数据服务没有返回数据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查询参数默认值、分页、状态过滤或源表无匹配数据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用管理端调试或 SQL 验证源数据。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接入服务成功但目标没数据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目标模型、Writer 参数或字段映射不正确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查看接入运行日志和目标表/文件。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SOAP Header 中 Token 不生效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Header 名称不符合约定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数据服务支持 `token` 或 `dataServiceToken`；接入服务支持 `token` 或 `dataIngestionToken`。</w:t>
            </w:r>
          </w:p>
        </w:tc>
      </w:tr>
    </w:tbl>
    <w:p/>
    <w:p>
      <w:pPr>
        <w:pStyle w:val="Heading2"/>
      </w:pPr>
      <w:r>
        <w:t>10. 数据质量</w:t>
      </w:r>
    </w:p>
    <w:p>
      <w:pPr>
        <w:pStyle w:val="Heading3"/>
      </w:pPr>
      <w:r>
        <w:t>10.1 质量规则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质量规则定义检查逻辑，例如空值、唯一性、范围、枚举、SQL 条件等。规则可以被质量任务引用。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建议：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规则命名包含业务对象和检查点，例如“订单金额非空”。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对关键字段启用必填、范围和枚举检查。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SQL 类规则应先在数据开发页验证 SQL 可执行。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776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quality-rul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Calibri" w:hAnsi="Calibri" w:eastAsia="Microsoft YaHei"/>
          <w:color w:val="666666"/>
          <w:sz w:val="18"/>
        </w:rPr>
        <w:t>图 10-1 质量规则列表与规则维度</w:t>
      </w:r>
    </w:p>
    <w:p>
      <w:pPr>
        <w:pStyle w:val="Heading3"/>
      </w:pPr>
      <w:r>
        <w:t>10.2 质量任务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质量任务把规则绑定到数据源和模型，并定义执行方式。发布后可手动运行，也可被工作流节点引用。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配置流程：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选择数据源和模型。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选择或创建质量规则。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配置规则参数。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预览和校验。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发布任务。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手动触发或加入工作流。</w:t>
      </w:r>
    </w:p>
    <w:p>
      <w:pPr>
        <w:pStyle w:val="Heading3"/>
      </w:pPr>
      <w:r>
        <w:t>10.3 质量指标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质量指标页用于查看质量任务的结果分布、问题聚合和趋势。使用时重点关注失败规则、影响模型、问题严重程度和处理状态。</w:t>
      </w:r>
    </w:p>
    <w:p>
      <w:pPr>
        <w:pStyle w:val="Heading2"/>
      </w:pPr>
      <w:r>
        <w:t>11. 系统管理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系统管理用于维护租户、项目、成员、角色、权限和工作空间申请。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功能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租户管理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创建和启停租户。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项目管理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创建项目、设置默认项目、启停项目。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租户成员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管理用户在租户内的角色。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项目成员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管理用户在项目内的角色。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项目申请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审批用户加入项目的申请。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 Worker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管理项目可用 Worker，影响任务派发。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资源共享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按项目或资源类型管理共享关系。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</w:rPr>
        <w:t>权限排障建议：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用户看不到菜单：检查角色是否满足菜单要求。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用户登录后没有项目：检查项目成员关系或审批状态。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任务无法触发：检查项目是否有可用 Worker。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资源不可见：检查租户、项目和资源归属。</w:t>
      </w:r>
    </w:p>
    <w:p>
      <w:pPr>
        <w:pStyle w:val="Heading2"/>
      </w:pPr>
      <w:r>
        <w:t>12. 常见问题与排障</w:t>
      </w:r>
    </w:p>
    <w:p>
      <w:pPr>
        <w:pStyle w:val="Heading3"/>
      </w:pPr>
      <w:r>
        <w:t>12.1 登录和项目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问题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排查方向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检查账号密码、后端服务、认证配置。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登录后无项目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到访问申请中心申请加入项目，或让管理员分配项目成员。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项目切换后数据为空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确认资源是否属于当前项目。</w:t>
            </w:r>
          </w:p>
        </w:tc>
      </w:tr>
    </w:tbl>
    <w:p/>
    <w:p>
      <w:pPr>
        <w:pStyle w:val="Heading3"/>
      </w:pPr>
      <w:r>
        <w:t>12.2 数据源和模型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问题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排查方向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连接测试失败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检查主机、端口、账号、密码、网络、防火墙和驱动能力。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模型同步不到表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检查数据源权限、Schema、表名大小写和同步范围。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字段映射缺字段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重新同步模型，确认目标模型字段已更新。</w:t>
            </w:r>
          </w:p>
        </w:tc>
      </w:tr>
    </w:tbl>
    <w:p/>
    <w:p>
      <w:pPr>
        <w:pStyle w:val="Heading3"/>
      </w:pPr>
      <w:r>
        <w:t>12.3 采集任务和工作流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问题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排查方向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任务发布失败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检查源端、目标端、字段映射和必填运行参数。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任务运行失败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查看运行日志中 Reader、Writer 或转换错误。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工作流无法触发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检查是否发布、是否已有运行中实例、项目 Worker 是否在线。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 节点失败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查看请求 URL、Header、Body、状态码和响应摘要。</w:t>
            </w:r>
          </w:p>
        </w:tc>
      </w:tr>
    </w:tbl>
    <w:p/>
    <w:p>
      <w:pPr>
        <w:pStyle w:val="Heading3"/>
      </w:pPr>
      <w:r>
        <w:t>12.4 数据服务和数据接入服务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问题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排查方向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开放接口 401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检查 Token 是否缺失、错误、停用，或服务是否配置免 Token。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开放接口 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检查服务编码、serviceKey、服务状态是否在线。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调试成功但外部调用失败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对比管理端调试参数和开放调用的 Header、Query、Body。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接入服务字段必填失败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检查字段来源位置、字段路径、默认值和请求体结构。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写入超时或失败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查看接入运行日志、Writer 参数、目标权限和目标模型。</w:t>
            </w:r>
          </w:p>
        </w:tc>
      </w:tr>
    </w:tbl>
    <w:p/>
    <w:p>
      <w:pPr>
        <w:pStyle w:val="Heading3"/>
      </w:pPr>
      <w:r>
        <w:t>12.5 日志定位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建议按请求链路定位：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页面提示或接口返回。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服务调用日志或接入访问日志。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运行日志详情。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Worker 节点日志。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数据库或文件目标侧验证。</w:t>
      </w:r>
    </w:p>
    <w:p>
      <w:pPr>
        <w:pStyle w:val="Heading2"/>
      </w:pPr>
      <w:r>
        <w:t>13. 附录：正式 WebService 示例任务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当前系统已创建一组正式 WebService 示例，用于展示“数据服务查询”和“数据接入服务写入”的组合用法。</w:t>
      </w:r>
    </w:p>
    <w:p>
      <w:pPr>
        <w:pStyle w:val="Heading3"/>
      </w:pPr>
      <w:r>
        <w:t>13.1 示例数据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源表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`formal_ws_demo_source_orders`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目标表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`formal_ws_demo_ingested_orders`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数据源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`mysql_agg`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项目 ID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`2041806351881003009`</w:t>
            </w:r>
          </w:p>
        </w:tc>
      </w:tr>
    </w:tbl>
    <w:p/>
    <w:p>
      <w:pPr>
        <w:pStyle w:val="Heading3"/>
      </w:pPr>
      <w:r>
        <w:t>13.2 示例服务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服务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编码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 WebService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`formal_ws_order_query_20260530005212`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查询 `READY` 状态订单。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数据接入 WebService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`formal_ws_order_ingest_20260530005212`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接收订单数据并写入目标表。</w:t>
            </w:r>
          </w:p>
        </w:tc>
      </w:tr>
    </w:tbl>
    <w:p/>
    <w:p>
      <w:pPr>
        <w:pStyle w:val="Heading3"/>
      </w:pPr>
      <w:r>
        <w:t>13.3 示例任务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任务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编码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运行结果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数据服务 WebService 查询任务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`formal_ws_data_service_query_task_20260530005212`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已成功调用数据服务 SOAP 查询。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数据接入 WebService 写入任务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`formal_ws_order_ingestion_flow_20260530005212`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已成功调用数据服务 SOAP 作为源，再调用接入服务 SOAP 写入目标表。</w:t>
            </w:r>
          </w:p>
        </w:tc>
      </w:tr>
    </w:tbl>
    <w:p/>
    <w:p>
      <w:pPr>
        <w:pStyle w:val="Heading3"/>
      </w:pPr>
      <w:r>
        <w:t>13.4 使用说明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浏览器打开 WSDL 地址只表示能获取结构，不等于已经调用业务数据。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调用数据必须使用不带 `?wsdl` 的 SOAP 地址，并发送 `POST` 请求。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示例服务配置为免 Token；如果后续改为需要 Token，调用方需要携带对应 Header 或 SOAP Header。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</w:rPr>
        <w:t>示例数据会保留在目标表中，用于后续联调和演示。</w:t>
      </w:r>
    </w:p>
    <w:p>
      <w:pPr>
        <w:pStyle w:val="Heading2"/>
      </w:pPr>
      <w:r>
        <w:t>14. 使用建议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先建数据源，再同步模型，最后配置采集、服务或接入。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对外开放服务前，先在管理端调试，再用真实开放地址验证。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生产服务优先启用 Token，并按订阅方管理调用方。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对接 WebService 时，先导入 `?wsdl`，再使用不带 `?wsdl` 的地址调用。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任务失败时优先看运行日志和访问日志，不要只看页面状态。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涉及文件写入时，提前确认路径、格式、追加策略和目标权限。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</w:rPr>
        <w:t>重要工作流发布后先手动触发一次，确认 Worker、日志和指标链路正常。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Data Aggregation 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666666"/>
        <w:sz w:val="18"/>
      </w:rPr>
      <w:t>Data Aggregation Studio 使用说明白皮书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Text">
    <w:name w:val="Code Block Text"/>
    <w:pPr>
      <w:spacing w:before="0" w:after="0" w:line="240" w:lineRule="auto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Aggregation Studio 使用说明白皮书</dc:title>
  <dc:subject>Data Aggregation Studio user whitepaper</dc:subject>
  <dc:creator>Codex</dc:creator>
  <cp:keywords>Data Aggregation Studio, 数据集成, 数据服务, 数据接入, WebService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