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auto"/>
      </w:pPr>
      <w:r>
        <w:rPr>
          <w:rFonts w:ascii="Calibri" w:hAnsi="Calibri" w:eastAsia="Microsoft YaHei"/>
          <w:b w:val="0"/>
          <w:color w:val="000000"/>
          <w:sz w:val="48"/>
        </w:rPr>
        <w:t>Data Aggregation Studio 当前页面反向需求规约</w:t>
      </w: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版本：2026-05-30</w:t>
      </w: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适用系统：Data Aggregation Studio Web 控制台</w:t>
      </w: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编写方式：基于当前路由、Vue 视图组件和浏览器实际页面可见项反向整理</w:t>
      </w: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适用读者：产品负责人、测试工程师、前端开发、后端开发、实施交付人员</w:t>
      </w:r>
    </w:p>
    <w:p>
      <w:pPr>
        <w:pStyle w:val="Heading1"/>
      </w:pPr>
      <w:r>
        <w:t>1. 文档范围与判定规则</w:t>
      </w: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本规约描述当前 Web Studio 已呈现的功能需求。它不是未来蓝图，也不是操作手册；所有需求均来自当前页面可见内容、当前路由、按钮、筛选项、表格列、弹窗、抽屉、状态标签和页面跳转。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 xml:space="preserve">覆盖范围限定为 </w:t>
      </w:r>
      <w:r>
        <w:rPr>
          <w:rFonts w:ascii="Consolas" w:hAnsi="Consolas" w:eastAsia="Microsoft YaHei"/>
          <w:color w:val="444444"/>
          <w:sz w:val="19"/>
        </w:rPr>
        <w:t>data-aggregation-studio/frontend/apps/web</w:t>
      </w:r>
      <w:r>
        <w:rPr>
          <w:rFonts w:ascii="Calibri" w:hAnsi="Calibri" w:eastAsia="Microsoft YaHei"/>
          <w:sz w:val="20"/>
        </w:rPr>
        <w:t xml:space="preserve"> 的 Web 控制台。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公开页面覆盖登录页、注册登记页；业务页面覆盖菜单页、可路由的新建/编辑/详情/日志页。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可点击的按钮、Tab、步骤条、分页、更多菜单、弹窗确认按钮、抽屉按钮均作为可见点记录。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涉及删除、停用、下线、取消申请、终止运行的入口记录需求与确认规则，不要求本文执行破坏性操作。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系统按当前管理员可见范围整理；有角色限制的菜单在权限要求中注明。</w:t>
      </w:r>
    </w:p>
    <w:p>
      <w:pPr>
        <w:pStyle w:val="Heading2"/>
      </w:pPr>
      <w:r>
        <w:t>1.1 页面与路由覆盖矩阵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700"/>
        <w:gridCol w:w="2200"/>
        <w:gridCol w:w="2100"/>
        <w:gridCol w:w="2060"/>
      </w:tblGrid>
      <w:tr>
        <w:tc>
          <w:tcPr>
            <w:tcW w:type="dxa" w:w="13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分组</w:t>
            </w:r>
          </w:p>
        </w:tc>
        <w:tc>
          <w:tcPr>
            <w:tcW w:type="dxa" w:w="17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路由</w:t>
            </w:r>
          </w:p>
        </w:tc>
        <w:tc>
          <w:tcPr>
            <w:tcW w:type="dxa" w:w="22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视图文件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页面名称</w:t>
            </w:r>
          </w:p>
        </w:tc>
        <w:tc>
          <w:tcPr>
            <w:tcW w:type="dxa" w:w="20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访问条件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公共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/login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LoginView.vue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登录页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公开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公共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/register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RegisterView.vue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注册登记页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公开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全局重定向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StudioLayout.vue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根路径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登录后重定向总览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全局重定向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/:pathMatch(.*)*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router/index.ts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未知路径捕获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按登录状态重定向登录或总览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工作空间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/dashboard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DashboardView.vue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工作空间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/catalog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CatalogView.vue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能力矩阵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工作空间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/access-center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WorkspaceAccessView.vue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访问申请中心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需登录；无项目时可见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/metadata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MetadataSchemasView.vue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元模型中心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/datasources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DatasourcesView.vue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数据源中心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/models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ModelsView.vue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模型中心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/models/:modelId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ModelsView.vue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模型详情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/models/sync-tasks/:taskId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ModelSyncTaskDetailView.vue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模型同步任务详情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/models/statistics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router/index.ts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模型统计兼容重定向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重定向 `/statistics`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数据资产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/statistics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ModelStatisticsView.vue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统计分析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/field-mapping-rules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FieldMappingRulesView.vue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字段映射规则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SUPER_ADMIN 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/field-mapping-rules/new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FieldMappingRuleEditorView.vue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新建字段映射规则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SUPER_ADMIN 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/field-mapping-rules/:ruleId/edit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FieldMappingRuleEditorView.vue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编辑字段映射规则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SUPER_ADMIN 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/collection-tasks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CollectionTasksView.vue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采集任务管理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/collection-tasks/new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CollectionTaskEditorView.vue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新建采集任务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/collection-tasks/:taskId/edit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CollectionTaskEditorView.vue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编辑采集任务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/collection-task-runs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CollectionTaskRunsView.vue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采集任务日志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/run-metrics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RunMetricsView.vue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指标监控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/data-development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DataDevelopmentView.vue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/workflows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WorkflowsView.vue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工作流编排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/workflows/new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WorkflowEditorView.vue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新建工作流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/workflows/:workflowId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WorkflowDetailView.vue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工作流详情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/workflows/:workflowId/edit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WorkflowEditorView.vue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编辑工作流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/runs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RunsView.vue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工作流日志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/runs/:workflowRunId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WorkflowRunDetailView.vue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工作流运行详情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/data-services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DataServicesView.vue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/data-services/new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DataServiceEditorView.vue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新建数据服务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/data-services/:serviceId/edit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DataServiceEditorView.vue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编辑数据服务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/data-ingestion-services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DataIngestionServicesView.vue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数据接入服务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/data-ingestion-services/new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DataIngestionServiceEditorView.vue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新建数据接入服务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/data-ingestion-services/:serviceId/edit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DataIngestionServiceEditorView.vue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编辑数据接入服务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/data-service-metrics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DataServiceMetricsView.vue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/data-service-metrics/access-logs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DataServiceAccessLogsView.vue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/data-ingestion-metrics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DataIngestionMetricsView.vue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服务接入监控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/data-ingestion-metrics/access-logs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DataIngestionAccessLogsView.vue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接入运行日志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/quality-rules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QualityRulesView.vue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/quality-rules/new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QualityRuleEditorView.vue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新建质量规则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/quality-rules/:ruleId/edit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QualityRuleEditorView.vue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编辑质量规则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/quality-tasks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QualityTasksView.vue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/quality-tasks/new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QualityTaskEditorView.vue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新建质量任务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/quality-tasks/:taskId/edit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QualityTaskEditorView.vue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编辑质量任务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/quality-task-runs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QualityTaskRunsView.vue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质量任务日志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数据质量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/quality-metrics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QualityMetricsView.vue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需登录且有项目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/notifications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NotificationsView.vue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消息中心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需登录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</w:t>
            </w:r>
          </w:p>
        </w:tc>
        <w:tc>
          <w:tcPr>
            <w:tcW w:type="dxa" w:w="17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/system</w:t>
            </w:r>
          </w:p>
        </w:tc>
        <w:tc>
          <w:tcPr>
            <w:tcW w:type="dxa" w:w="2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SystemView.vue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系统管理</w:t>
            </w:r>
          </w:p>
        </w:tc>
        <w:tc>
          <w:tcPr>
            <w:tcW w:type="dxa" w:w="20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SUPER_ADMIN / TENANT_ADMIN / PROJECT_ADMIN</w:t>
            </w:r>
          </w:p>
        </w:tc>
      </w:tr>
    </w:tbl>
    <w:p/>
    <w:p>
      <w:pPr>
        <w:pStyle w:val="Heading1"/>
      </w:pPr>
      <w:r>
        <w:t>2. 全局框架与访问控制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左侧导航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系统应在登录后的工作台展示七个菜单分组：工作空间、数据资产、数据采集、数据开发、数据服务、数据质量、系统管理。每个分组可展开或收起，并显示分组标题与说明。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管理员登录后可在侧边栏看到上述分组；无项目时业务菜单不显示并引导访问申请中心。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菜单收起按钮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系统应提供“收起菜单/展开菜单”按钮控制侧边栏宽度。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点击后侧边栏状态切换，主内容区仍可正常显示。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租户选择器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系统应在侧边栏上下文区展示租户选择器，已登录且存在租户时可切换租户。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切换租户后刷新项目列表；失败时给出上下文切换失败提示。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项目选择器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系统应在侧边栏上下文区展示项目选择器，已登录且存在项目时可切换项目。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切换项目后页面使用新项目上下文加载数据。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语言切换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系统应展示 English 与中文两个语言按钮，并切换界面语言。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 English/中文后菜单、标题、按钮文案切换到对应语言。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站内信入口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系统应在主内容头部展示站内信铃铛和未读数量。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点击站内信入口应进入消息中心或打开消息入口；未读数量与消息接口返回一致。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页面标题与副标题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系统应根据路由 meta 展示页面标题、副标题，并在登录后附加当前用户、租户、项目上下文。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每个业务页面标题与路由一致，副标题包含当前登录用户和上下文。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REQ-GLB-008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退出登录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系统应提供退出登录按钮。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点击后清除本地 Token、用户名、租户、项目缓存，并跳转登录页。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REQ-GLB-009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无项目访问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登录用户没有当前项目时，系统应隐藏需项目菜单并展示访问申请中心入口。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无项目上下文访问业务页面时跳转 `/access-center`。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REQ-GLB-010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未登录访问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未登录访问非公开页面时，系统应跳转 `/login`。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清空本地 Token 后访问 `/dashboard` 跳转登录页。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REQ-GLB-011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根路径重定向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 `/` 时系统应使用 StudioLayout 并重定向到 `/dashboard`。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已登录且有项目时进入总览；未登录时进入登录页。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REQ-GLB-012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未知路径捕获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访问未定义路径时系统应进入全局捕获路由。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未登录跳转 `/login`；已登录跳转 `/dashboard`。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REQ-GLB-013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模型统计兼容路由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 `/models/statistics` 时系统应兼容重定向到 `/statistics`。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地址进入后展示统计分析页。</w:t>
            </w:r>
          </w:p>
        </w:tc>
      </w:tr>
    </w:tbl>
    <w:p/>
    <w:p>
      <w:pPr>
        <w:pStyle w:val="Heading1"/>
      </w:pPr>
      <w:r>
        <w:t>3. 公共页面</w:t>
      </w:r>
    </w:p>
    <w:p>
      <w:pPr>
        <w:pStyle w:val="Heading2"/>
      </w:pPr>
      <w:r>
        <w:t>3.1 登录页 `/login`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品牌区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登录页应展示 DA 标识、数据聚合工作台标题、WEB 运行时标识和采集·建模·调度·质量徽标。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打开 `/login` 可见品牌区全部文案。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能力说明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登录页应展示三项能力说明：数据源与元数据、采集任务与工作流、质量治理与运行监控。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三项能力包含序号、标题和说明。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默认管理员提示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登录页应展示默认管理员入口，包含用户名 admin 和密码 admin123。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默认提示区域可见，且不影响输入框编辑。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统一登录按钮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登录面板应展示统一登录按钮，用于平台入口换票。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按钮可点击；直连场景仍保留本地账号登录区。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用户名输入框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登录面板应展示用户名输入框，默认值为 admin，支持手动修改。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输入框 placeholder 为用户名或请输入用户名。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密码输入框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登录面板应展示密码输入框，默认值以掩码显示，支持手动修改。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密码输入不明文展示。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进入工作台按钮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登录面板应展示进入工作台按钮。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输入有效账号后点击可登录并跳转总览页；失败时提示登录失败。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REQ-PUB-LOGIN-008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注册登记入口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登录页应展示需要账号？去提交注册登记按钮。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点击后跳转 `/register`。</w:t>
            </w:r>
          </w:p>
        </w:tc>
      </w:tr>
    </w:tbl>
    <w:p/>
    <w:p>
      <w:pPr>
        <w:pStyle w:val="Heading2"/>
      </w:pPr>
      <w:r>
        <w:t>3.2 注册登记页 `/register`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REQ-PUB-REG-001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注册说明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注册页应说明当前平台不支持开放注册，需要填写账号信息并等待管理员审批。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打开 `/register` 可见访问申请、提交注册登记和说明文本。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REQ-PUB-REG-002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用户名字段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注册页应提供用户名输入框。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输入框 placeholder 为请输入用户名。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REQ-PUB-REG-003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密码字段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注册页应提供密码输入框。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密码字段以掩码输入。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REQ-PUB-REG-004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显示名字段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注册页应提供可选显示名输入框。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显示名可为空。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REQ-PUB-REG-005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申请说明字段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注册页应提供申请说明文本域。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文本域 placeholder 提示说明访问原因。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REQ-PUB-REG-006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提交登记按钮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注册页应提供提交登记按钮。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点击后调用注册登记接口；成功提示注册登记已提交，失败提示提交注册登记失败。</w:t>
            </w:r>
          </w:p>
        </w:tc>
      </w:tr>
    </w:tbl>
    <w:p/>
    <w:p>
      <w:pPr>
        <w:pStyle w:val="Heading1"/>
      </w:pPr>
      <w:r>
        <w:t>4. 工作空间</w:t>
      </w:r>
    </w:p>
    <w:p>
      <w:pPr>
        <w:pStyle w:val="Heading2"/>
      </w:pPr>
      <w:r>
        <w:t>4.1 总览 `/dashboard`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顶部快捷按钮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总览页应展示进入数据源、新建采集任务、新建工作流、进入脚本开发四个快捷按钮。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按钮分别跳转数据源中心、采集任务新建页、工作流新建页、数据开发页。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英雄指标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总览页应展示已发布工作流、已上线采集任务、脚本资产三项指标。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每项包含标题、数值和说明。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数据源/工作流/任务卡片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总览页应展示数据源、已发布工作流、已上线采集任务卡片。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卡片展示数量和业务说明。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运行态脉搏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总览页应展示运行态脉搏区，包含刷新按钮、当前排队、运行中工作流、失败工作流和最近运行列表空态。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点击刷新重新加载运行态数据。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快捷入口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总览页应展示数据源中心、采集任务管理、工作流编排、数据开发四个入口卡片。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入口卡片包含名称、说明和项目数量，点击进入对应页面。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最近变更的工作流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总览页应展示最近变更工作流区。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无工作流时展示当前还没有工作流定义；有数据时展示工作流名称、发布状态、调度状态和打开详情入口。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REQ-WS-DASH-007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管理就绪度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总览页应展示纳入管理的数据源类型、已开启调度工作流、已上线采集任务、脚本总数及 SQL/JAVA/PYTHON 分布。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无数据时展示无 source 映射和无脚本提示。</w:t>
            </w:r>
          </w:p>
        </w:tc>
      </w:tr>
    </w:tbl>
    <w:p/>
    <w:p>
      <w:pPr>
        <w:pStyle w:val="Heading2"/>
      </w:pPr>
      <w:r>
        <w:t>4.2 能力矩阵 `/catalog`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REQ-WS-CAT-001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能力矩阵页应提供刷新按钮。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点击后重新加载数据源类型支持矩阵。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REQ-WS-CAT-002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汇总指标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页面应展示数据源类型、可读类型、可写类型、纳入管理类型四项汇总。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每项显示数量和说明。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REQ-WS-CAT-003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纳入管理类型列表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页面应展示纳入管理的数据源类型标签列表。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标签包含 MYSQL8、ORACLE、POSTGRES、DM、FTP、SFTP、MINIO、KAFKA、ROCKETMQ、HTTP、RABBITMQ、ODPS、TBDS-HDFS、TBDS-HDFS3、TBDS-HIVE2、TBDS-HIVE3、INFLUXDB、INFLUXDBV1。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REQ-WS-CAT-004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支持矩阵表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页面应展示数据源类型支持关系表。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表格列为数据源类型、类型、可读、可写、纳入管理、Reader 列表、Writer 列表。</w:t>
            </w:r>
          </w:p>
        </w:tc>
      </w:tr>
    </w:tbl>
    <w:p/>
    <w:p>
      <w:pPr>
        <w:pStyle w:val="Heading2"/>
      </w:pPr>
      <w:r>
        <w:t>4.3 访问申请中心 `/access-center`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访问申请中心应提供刷新按钮重新加载概览。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点击后刷新待审批申请和可申请项目。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刷新权限按钮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访问申请中心应提供刷新权限按钮。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审批通过后点击应重新拉取租户项目权限；未审批时提示权限仍待更新。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空上下文提示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无租户或项目时应展示当前未绑定租户和项目提示。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提示说明加入项目后自动解析租户上下文。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我的加入申请表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页面应展示我的加入申请区。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表格列为租户、项目、状态、申请说明、审批备注、申请时间、操作；无数据时展示暂时还没有加入申请。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取消申请按钮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待审批申请行应展示取消申请按钮。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点击后出现确认提示；确认后取消申请并刷新列表。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可申请项目区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页面应展示可申请加入的项目，按租户组织。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每个项目卡片展示项目名称、描述、审批中标签或申请加入按钮。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REQ-WS-ACC-007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申请加入弹窗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点击申请加入应打开申请加入项目弹窗。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弹窗展示租户、项目、申请说明文本域、取消按钮、提交申请按钮。</w:t>
            </w:r>
          </w:p>
        </w:tc>
      </w:tr>
    </w:tbl>
    <w:p/>
    <w:p>
      <w:pPr>
        <w:pStyle w:val="Heading1"/>
      </w:pPr>
      <w:r>
        <w:t>5. 数据资产</w:t>
      </w:r>
    </w:p>
    <w:p>
      <w:pPr>
        <w:pStyle w:val="Heading2"/>
      </w:pPr>
      <w:r>
        <w:t>5.1 元模型中心 `/metadata`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REQ-AS-META-001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全部同步按钮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元模型中心应提供全部同步按钮。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点击后触发元模型同步流程并刷新目录。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REQ-AS-META-002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元模型中心应提供刷新按钮。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点击后重新加载元模型目录和详情。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REQ-AS-META-003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元模型目录树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页面应展示技术元模型、业务元模型、采集参数模型三类根节点。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目录节点可点击，点击后右侧详情切换。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REQ-AS-META-004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元模型详情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右侧详情应展示数据源类型、业务目录、元模型编码、展示方式、同步策略、必备模型、Schema 编码、类型编码、运行角色、插件类型。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未选中具体模型时字段以空值或默认值展示。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REQ-AS-META-005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元模型编辑抽屉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当页面提供新建或编辑元模型入口时，应打开元模型抽屉。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抽屉包含基础信息、表单预览、字段定义、保存、取消。</w:t>
            </w:r>
          </w:p>
        </w:tc>
      </w:tr>
    </w:tbl>
    <w:p/>
    <w:p>
      <w:pPr>
        <w:pStyle w:val="Heading2"/>
      </w:pPr>
      <w:r>
        <w:t>5.2 数据源中心 `/datasources`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新建数据源按钮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数据源中心应提供新建数据源按钮。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点击打开数据源表单抽屉或弹窗。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数据源中心应提供刷新按钮。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点击后重新加载数据源列表。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数据源列表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页面应展示已管理数据源表格。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表格列为序号、名称、类型、所属项目、启用、纳入管理、更新时间、操作。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每行数据源应提供编辑按钮。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点击后打开该数据源编辑表单。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删除按钮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每行数据源应提供删除按钮。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点击后出现确认提示，确认后删除或逻辑删除。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更多按钮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每行数据源应提供更多按钮。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更多菜单承载测试连接、模型发现、同步或其他扩展操作。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REQ-AS-DS-007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分页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数据源列表应提供上一页、下一页和页码/每页条数控件。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分页切换后列表按当前页展示。</w:t>
            </w:r>
          </w:p>
        </w:tc>
      </w:tr>
    </w:tbl>
    <w:p/>
    <w:p>
      <w:pPr>
        <w:pStyle w:val="Heading2"/>
      </w:pPr>
      <w:r>
        <w:t>5.3 模型中心 `/models` 与模型详情 `/models/:modelId`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 Tab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模型中心应提供模型列表 Tab。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Tab 激活时展示模型工具栏、动态筛选和模型表格。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模型同步任务 Tab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模型中心应提供模型同步任务 Tab。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Tab 激活时展示同步任务工具栏和同步任务表格。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新建模型按钮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模型列表应提供新建模型按钮。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点击后打开模型编辑抽屉；无当前项目时按钮禁用。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模型列表应提供同步按钮。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点击后打开模型同步弹窗，弹窗包含数据源选择、取消、同步。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重建按钮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模型列表应提供重建按钮。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点击后触发索引重建并刷新索引队列卡片。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模型列表应提供统计按钮。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点击后跳转统计分析页。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模型列表应提供刷新按钮。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点击后重新加载模型列表。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REQ-AS-MOD-008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动态筛选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模型列表应提供新增筛选、查询、重置控件。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选择数据源类型后可新增筛选组和条件；查询应用筛选，重置清空筛选。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REQ-AS-MOD-009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模型列表表格列应为序号、模型名称、数据源、所属项目、类型、物理定位、操作。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模型名称可点击进入详情；无数据时展示当前暂无模型数据。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REQ-AS-MOD-010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模型编辑抽屉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模型编辑抽屉应包含动态元数据分组、添加行、移除行、取消、保存。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保存成功后关闭抽屉并刷新模型列表或详情。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REQ-AS-MOD-011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模型详情页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模型详情页应提供返回列表、统计、刷新、编辑按钮，并提供概览与血缘 Tab。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概览展示模型基础、字段、样例或元数据；血缘展示上下游关系。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REQ-AS-MOD-012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同步任务表格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模型同步任务 Tab 应提供新建同步任务、刷新任务、查看、停止、删除。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停止按钮仅在可停止状态启用；删除按钮仅在可删除状态启用。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REQ-AS-MOD-013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同步任务详情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同步任务详情页应展示任务状态、数据源、模型同步结果和每表执行明细。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从同步任务名称或查看按钮进入详情。</w:t>
            </w:r>
          </w:p>
        </w:tc>
      </w:tr>
    </w:tbl>
    <w:p/>
    <w:p>
      <w:pPr>
        <w:pStyle w:val="Heading2"/>
      </w:pPr>
      <w:r>
        <w:t>5.4 统计分析 `/statistics`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REQ-AS-STAT-001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统计分析页应提供刷新按钮。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点击后重新加载统计配置和可选项。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REQ-AS-STAT-002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收起设置按钮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页面应提供收起设置按钮。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点击后隐藏或展开分析设置区。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REQ-AS-STAT-003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执行分析按钮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页面应提供执行分析按钮。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点击后根据当前目标范围、数据源类型、数据源、元模型、字段和筛选条件生成统计图表。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REQ-AS-STAT-004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目标范围选择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分析设置应提供业务/技术目标范围选择。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切换后可选元模型范围同步变化。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REQ-AS-STAT-005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动态筛选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分析设置应提供新增筛选和重置。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新增筛选添加模型筛选条件；重置清空筛选。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REQ-AS-STAT-006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图表区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页面应展示概览指标、近 N 天增长趋势、数量柱状图、占比扇图、Top N 排行。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执行分析前展示占位提示；执行后展示图表或空数据提示。</w:t>
            </w:r>
          </w:p>
        </w:tc>
      </w:tr>
    </w:tbl>
    <w:p/>
    <w:p>
      <w:pPr>
        <w:pStyle w:val="Heading1"/>
      </w:pPr>
      <w:r>
        <w:t>6. 数据采集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REQ-COL-RULE-001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字段映射规则列表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字段映射规则页应展示新建规则、刷新、查询、重置、编辑、删除、分页。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表格列为序号、映射名、映射类型、映射编码、是否可用、创建人、创建时间、操作。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REQ-COL-RULE-002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字段映射规则编辑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规则编辑页应展示返回列表、刷新、保存、基础信息、配置信息、新增映射按钮。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字段包含映射名、映射类型、映射编码、是否可用、描述、源字段名、目标顺序、目标字段名、默认值、处理类型、操作。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REQ-COL-TASK-001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采集任务管理页应展示新建采集任务、刷新、查询、重置、关注、编辑、删除、更多、分页。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表格列为序号、任务名称、目标数据源/目标模型、任务类型/源数量、所属项目、定时、状态、操作。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REQ-COL-TASK-002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采集任务编辑向导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采集任务新建/编辑页应展示返回列表、刷新、保存草稿、发布上线、移除、上一步、下一步。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基础字段包含任务名称、任务类型、采集模式、全量/增量、数据源、模型、操作。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REQ-COL-TASK-003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采集任务运行日志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采集任务日志页应展示刷新、查询、重置、分页和运行列表。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表格列为序号、采集任务、状态、Worker、开始时间/运行时长、指标摘要、消息、操作。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REQ-COL-TASK-004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采集日志抽屉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采集任务列表和运行列表的日志入口应打开运行日志抽屉。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抽屉按运行记录隔离展示系统日志、业务摘要和错误信息。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REQ-COL-MET-001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指标监控筛选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指标监控页应提供刷新、选择数据源、选择源模型、选择目标模型、日期范围、Top N、查询、重置。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查询后刷新趋势与 TopN 表格。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REQ-COL-MET-002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指标监控图表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指标监控页应展示指标趋势、源数据源 TopN、目标数据源 TopN、源模型 TopN、目标模型 TopN。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TopN 表格列为序号、数据源或模型、成功数。</w:t>
            </w:r>
          </w:p>
        </w:tc>
      </w:tr>
    </w:tbl>
    <w:p/>
    <w:p>
      <w:pPr>
        <w:pStyle w:val="Heading1"/>
      </w:pPr>
      <w:r>
        <w:t>7. 数据开发与工作流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REQ-DEV-SCRIPT-001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数据开发工具栏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数据开发页应展示刷新、新建目录、新建脚本、执行 SQL、保存脚本、移动、删除。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未选择脚本时编辑器区提示先选择脚本或新建脚本。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REQ-DEV-SCRIPT-002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脚本目录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数据开发页应展示当前项目、当前目录和脚本树。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脚本节点展示名称、语言类型和绑定数据源。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REQ-DEV-SCRIPT-003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脚本编辑器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选择脚本后应显示脚本编辑器。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SQL 脚本支持执行 SQL；脚本内容可保存。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REQ-WF-LIST-001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工作流编排页应展示新建工作流、刷新、关注、编辑、删除、更多、分页。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表格列为序号、编码、名称、所属项目、状态、启用调度、操作。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REQ-WF-LIST-002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工作流更多操作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工作流更多菜单应包含运行日志、发布、手动触发等扩展操作。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操作根据共享状态和工作流 ID 启用或禁用。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REQ-WF-EDIT-001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工作流基础信息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工作流编辑页应展示返回列表、刷新、保存草稿、工作流编码、工作流名称、Cron 表达式、设置、时区、启用调度。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Cron 设置按钮打开表达式配置；启用调度为开关控件。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REQ-WF-EDIT-002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工作流画布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工作流编辑页应展示节点调色板和画布。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节点调色板包含采集任务、质量任务、数据脚本、HTTP、Shell 五类节点。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REQ-WF-EDIT-003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当前节点面板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选择节点后应展示节点配置面板。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采集任务、质量任务、数据脚本节点提供资源选择按钮；HTTP 节点提供 Query/Header 参数新增删除；Shell 节点提供命令配置。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REQ-WF-EDIT-004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资源选择弹窗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绑定采集任务、质量任务、数据脚本时应打开资源选择弹窗。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弹窗提供刷新、单选、分页、取消、确认选择；未选择资源时确认按钮禁用。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REQ-WF-EDIT-005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边路由表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工作流编辑页应展示边路由表。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表格列为起点、终点、条件，条件可选 ON_SUCCESS、ON_FAILURE、ALWAYS。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REQ-WF-DETAIL-001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工作流详情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工作流详情页应提供返回列表、刷新、运行日志、编辑按钮。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编辑按钮对共享工作流禁用；运行日志跳转 `/runs` 并带工作流筛选。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REQ-WF-RUN-001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工作流日志列表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工作流日志页应展示刷新、选择工作流、选择状态、时间范围、查询、重置、查看详情、分页。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表格列为序号、工作流、所属项目、状态、开始时间/运行时长、节点统计/运行摘要、操作。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REQ-WF-RUN-002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工作流运行详情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运行详情页应提供返回列表、刷新、终止运行、节点日志入口。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运行中状态展示终止运行；节点表格操作列的日志按钮打开 RunLogDrawer。</w:t>
            </w:r>
          </w:p>
        </w:tc>
      </w:tr>
    </w:tbl>
    <w:p/>
    <w:p>
      <w:pPr>
        <w:pStyle w:val="Heading1"/>
      </w:pPr>
      <w:r>
        <w:t>8. 数据服务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REQ-SVC-LIST-001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数据服务列表工具栏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数据服务页应展示刷新和新建服务按钮。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刷新重新加载列表；新建服务跳转 `/data-services/new`。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REQ-SVC-LIST-002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数据服务查询条件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数据服务页应提供关键字输入框、服务状态、服务类型、查询、重置。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关键字 placeholder 为服务名称、服务编码、数据源或模型。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REQ-SVC-LIST-003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数据服务页表格列应为序号、服务、来源、发布地址、状态、更新时间、操作。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服务列展示服务名称和编码；来源展示数据源到模型关系；状态显示草稿/已发布/下线。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REQ-SVC-LIST-004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行内操作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每行应展示编辑、删除、更多。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编辑进入编辑页；删除需要确认；更多打开扩展操作菜单。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REQ-SVC-LIST-005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更多菜单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数据服务更多菜单应包含调试、监控、调用日志、订阅 Token 管理、发布或下线。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点击调试进入编辑页调试步骤；监控进入服务监控；调用日志进入访问日志。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REQ-SVC-TOKEN-001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订阅 Token 弹窗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点击订阅 Token 管理应打开订阅 Token 管理弹窗。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弹窗提示外部调用请求头 `X-Data-Service-Token`，并展示创建 Token 按钮。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REQ-SVC-TOKEN-002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明文一次展示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创建 Token 成功后应展示新 Token 仅展示一次卡片和复制 Token 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复制成功提示 Token 已复制；关闭后明文不可再次查看。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REQ-SVC-TOKEN-003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弹窗应展示订阅方、Token 掩码、启用状态和操作。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启用状态显示停用或启用按钮。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数据服务向导步骤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数据服务编辑页应展示四步：基础信息、服务开发、服务发布、接口调试。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步骤条可点击切换；底部提供上一步、下一步、保存服务。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基础信息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基础信息步骤应展示服务 Code、服务名称、服务类型、状态。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Code placeholder 为例如 order_query_api；名称 placeholder 为例如订单查询服务。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服务开发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服务开发步骤应提供数据源、模型或 SQL 来源选择、解析字段、新增请求参数、请求参数删除。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解析字段成功后生成响应字段或参数候选。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发布配置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服务发布步骤应展示访问 Token 开关、默认订阅方、发布地址、请求参数映射、新增映射、同步请求参数。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开关支持需要 Token 和免 Token；免 Token 时可填写默认订阅方。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WebService 设置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数据服务编辑页应提供 WebService 设置折叠区。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折叠区包含启用 WebService、SOAP 版本、Namespace、Operation、SOAP Action、请求根节点、响应根节点、WSDL 地址、预览按钮和 WSDL 预览文本。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REST 调试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接口调试步骤应支持生成模板并验证 REST 请求。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调试请求返回接口响应和错误摘要。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REQ-SVC-EDIT-007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SOAP 调试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启用 WebService 后调试步骤应展示 SOAP 调试区。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区内包含生成 SOAP 样例、复制 WSDL 地址、发送 SOAP 调试、SOAP Envelope 输入、调试结果。</w:t>
            </w:r>
          </w:p>
        </w:tc>
      </w:tr>
    </w:tbl>
    <w:p/>
    <w:p>
      <w:pPr>
        <w:pStyle w:val="Heading1"/>
      </w:pPr>
      <w:r>
        <w:t>9. 数据接入服务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REQ-ING-LIST-001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接入服务列表工具栏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数据接入服务页应展示刷新和新建接入服务按钮。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刷新重新加载列表；新建接入服务跳转 `/data-ingestion-services/new`。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REQ-ING-LIST-002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接入服务查询条件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数据接入服务页应提供关键字输入框、服务状态、目标类型、查询、重置。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关键字 placeholder 为服务名称、服务编码、数据源或模型。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REQ-ING-LIST-003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接入服务表格列应为序号、服务、目标、取值来源、接入地址、状态、更新时间、操作。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目标列展示数据源到模型关系和数据库表/文件模型目标类型。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REQ-ING-LIST-004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行内操作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每行应展示编辑、删除、更多和分页。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编辑进入编辑页；删除确认；分页切换列表。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REQ-ING-LIST-005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更多菜单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接入服务更多菜单应包含调试、监控、调用日志、订阅 Token 管理、发布或下线。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调试进入发布调试步骤；监控进入服务接入监控；调用日志进入接入运行日志。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REQ-ING-TOKEN-001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订阅 Token 弹窗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点击订阅 Token 管理应打开弹窗。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弹窗提示请求头 `X-Data-Ingestion-Token`，提供创建 Token。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REQ-ING-TOKEN-002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复制与启停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Token 弹窗应支持新 Token 一次展示、复制 Token、停用、启用。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停用后该 Token 不可调用；启用后恢复调用。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接入服务向导步骤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接入服务编辑页应展示三步：基础与目标、字段映射、发布调试。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步骤条可点击切换；底部提供上一步、下一步、保存服务。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基础信息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基础与目标步骤应展示服务名称、服务编码、批量数据节点、单次最大行数、访问 Token。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服务名称 placeholder 为例如客户资料接入；服务编码 placeholder 为 customer_ingest；批量数据节点 placeholder 为例如 data.items。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 Token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接入服务应支持需要 Token 和免 Token。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免 Token 时使用默认订阅方记录日志；需要 Token 时开放调用必须携带有效 Token。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写入目标配置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基础与目标步骤应展示目标类型、数据源类型、数据源、模型、字段、解析目标字段、高级写入参数。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目标类型可选数据库表和文件模型；必须先选择数据源类型，再选择数据源和模型。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Writer 参数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选择数据源后应按目标 Writer 插件自动渲染高级写入参数表单。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未选择数据源时显示选择数据源后加载 Writer 参数表单。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WebService 设置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接入服务编辑页应提供 WebService 设置折叠区。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包含启用 WebService、SOAP 版本、Namespace、Operation、SOAP Action、请求根节点、响应根节点、WSDL 地址、预览。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字段映射配置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字段映射步骤应支持新增映射、删除映射和目标字段解析。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每条映射包含目标字段、来源位置、来源字段路径、数据类型、必填、默认值、转换说明。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REQ-ING-EDIT-008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发布调试模式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发布调试步骤应支持表单模式、原始模式和 SOAP 模式。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表单模式可重置样例；SOAP 模式启用 WebService 后可生成 SOAP 样例。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REQ-ING-EDIT-009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调试发送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发布调试步骤应提供发送调试按钮。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调试成功展示 requestId、serviceCode、receivedCount、successCount、failedCount、status；失败展示错误信息。</w:t>
            </w:r>
          </w:p>
        </w:tc>
      </w:tr>
    </w:tbl>
    <w:p/>
    <w:p>
      <w:pPr>
        <w:pStyle w:val="Heading1"/>
      </w:pPr>
      <w:r>
        <w:t>10. 服务监控与日志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REQ-MON-SVC-001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服务监控导航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服务监控页应展示服务列表、刷新、查询、重置、查看服务、访问日志按钮。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服务列表返回数据服务页；访问日志进入 `/data-service-metrics/access-logs`。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REQ-MON-SVC-002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服务监控页应支持 24 小时、7 天、30 天、自定义、服务、状态、订阅方、调用结果、缓存状态筛选。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点击查询按筛选加载；重置恢复默认 24 小时。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REQ-MON-SVC-003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服务监控指标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页面应展示总访问次数、成功次数、失败次数、成功率、平均响应、缓存命中率、缓存命中次数、缓存未命中次数。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指标为空时显示未开启或 0。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REQ-MON-SVC-004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服务监控图表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页面应展示访问趋势、接口输出数据量、缓存命中次数、响应时间趋势、成功率趋势、错误分布。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趋势图支持增量和总量切换。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REQ-MON-SVC-005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API 统计表列为服务、状态、访问、成功/失败、成功率、最快响应、平均响应、最慢响应、P95/P99、缓存命中率、最近访问、操作。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操作列提供查看服务和访问日志。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REQ-MON-SVC-006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服务排行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服务监控页应展示 Top 慢 API、Top 失败 API、订阅方排行。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Top 慢 API 列为服务、P95、最大；Top 失败 API 列为服务、失败。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REQ-MON-SLOG-001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访问日志页应展示返回监控、刷新、查询、重置。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返回监控跳转服务监控页。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REQ-MON-SLOG-002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访问日志页应支持 24 小时、7 天、30 天、自定义、服务、订阅方、异常或慢查询、调用结果、缓存状态、慢查询阈值。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查询后刷新访问日志明细。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REQ-MON-SLOG-003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访问日志明细列为调用时间、类型、异常摘要、耗时、HTTP、结果、服务、订阅方、方法、缓存、返回行数、客户端 IP、User-Agent、操作。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无数据时展示暂无数据。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服务接入监控导航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服务接入监控页应展示接入服务列表、运行日志、刷新、查询、重置、查看服务。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接入服务列表返回接入服务页；运行日志进入接入运行日志页。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接入监控筛选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接入监控页应支持 24 小时、7 天、30 天、自定义、接入服务、状态、订阅方、调用结果。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查询后刷新接入监控。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接入监控指标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页面应展示总调用次数、成功调用、失败调用、调用成功率、接收行数、写入成功行数、写入失败行数、平均耗时。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指标与筛选时间范围一致。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接入监控图表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页面应展示调用趋势、接收数据量、写入成功数据量、响应时间趋势、成功率趋势、错误分布。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趋势图支持增量和总量切换。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接入监控表格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接入服务统计表列为接入服务、状态、调用、成功/失败、成功率、接收/写入、写入失败、平均耗时、P95/P99、最近调用、操作。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操作列提供查看服务和运行日志。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REQ-MON-ING-LOG-001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接入运行日志页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接入运行日志页应展示返回监控、刷新、查询、重置、详情、分页。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详情按钮打开日志详情抽屉。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REQ-MON-ING-LOG-002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接入运行日志筛选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接入运行日志页应支持 24 小时、7 天、30 天、自定义、接入服务、订阅方、异常或慢调用、调用结果、慢调用阈值。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查询后刷新明细表。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REQ-MON-ING-LOG-003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接入运行日志表格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明细列为调用时间、类型、异常摘要、耗时、HTTP、结果、接入服务、订阅方、方法、接收、写入成功、写入失败、客户端 IP、User-Agent、操作。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成功、失败、慢调用、异常按类型展示。</w:t>
            </w:r>
          </w:p>
        </w:tc>
      </w:tr>
    </w:tbl>
    <w:p/>
    <w:p>
      <w:pPr>
        <w:pStyle w:val="Heading1"/>
      </w:pPr>
      <w:r>
        <w:t>11. 数据质量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REQ-DQ-RULE-001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质量规则页应展示新建规则、批量删除、刷新、查询、重置、编辑、删除、更多、分页。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表格列为序号、规则名称、规则编码、规则维度、粒度、作用域、状态、创建人、更新时间、操作。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REQ-DQ-RULE-002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质量规则页筛选项应包含规则名称或规则编码、规则维度、规则作用域、启用状态。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查询应用筛选；重置恢复默认。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REQ-DQ-RULE-003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质量规则编辑基础信息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质量规则新建/编辑页应展示返回列表、刷新、保存、基础信息。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字段包含规则名称、规则编码、规则作用域、规则维度、规则粒度、启用状态、描述、适配数据源类型。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REQ-DQ-RULE-004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质量规则定义逻辑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质量规则编辑页应展示 SQL 模板、语义校验、参数解析、快速插入表参数、字段参数、动态函数。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参数解析根据 SQL 模板刷新输入参数。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REQ-DQ-RULE-005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质量规则输入输出参数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质量规则编辑页应展示输入参数和输出参数表。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输入参数列为序号、参数名称、参数类型、参数含义、操作；输出参数列为结果字段、输出类型、输出说明、操作。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REQ-DQ-TASK-001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质量任务页应展示质量指标、新建任务、刷新、查询、重置、编辑、删除、更多、分页。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表格列为序号、任务名称、任务编码、规则信息、数据范围、状态、更新时间、操作。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REQ-DQ-TASK-002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质量任务页筛选项应包含任务名称/任务编码/规则名称、任务状态、规则维度、校验粒度。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查询应用筛选；重置恢复默认。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REQ-DQ-TASK-003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质量任务编辑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质量任务新建/编辑页应展示基本信息、任务绑定、规则选择、输入参数绑定、SQL 预览与校验、输出告警、调度配置。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顶部按钮包含返回列表、刷新、运行日志、SQL 预览、语义校验、保存草稿、发布、手动执行。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REQ-DQ-TASK-004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质量任务运行日志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质量任务日志页应展示质量指标、返回任务列表、刷新、查询、重置、分页。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表格列为序号、质量任务、状态、执行节点、开始/耗时、执行摘要、操作。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REQ-DQ-MET-001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质量指标页应展示质量任务、运行日志、刷新、24 小时、7 天、30 天、自定义、数据源、模型、维度、粒度、状态、查询、重置。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查询后刷新总览、资产洞察、问题中心。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REQ-DQ-MET-002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质量指标总览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质量指标页应展示执行健康分、治理风险指数、活跃问题数、SLA 超时问题数、受影响资产数、已纳管资产数。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算法说明展示固定权重。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REQ-DQ-MET-003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质量指标图表与表格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质量指标页应展示双分趋势图、问题趋势图、规则维度分布、覆盖矩阵、高风险资产 TopN、高噪声任务/规则 TopN。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表格列为资产、健康分、风险指数、活跃问题、最后执行，以及对象、失败次数、Reopen、最近出现。</w:t>
            </w:r>
          </w:p>
        </w:tc>
      </w:tr>
    </w:tbl>
    <w:p/>
    <w:p>
      <w:pPr>
        <w:pStyle w:val="Heading1"/>
      </w:pPr>
      <w:r>
        <w:t>12. 系统管理与消息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2860"/>
      </w:tblGrid>
      <w:tr>
        <w:tc>
          <w:tcPr>
            <w:tcW w:type="dxa" w:w="15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需求编号</w:t>
            </w:r>
          </w:p>
        </w:tc>
        <w:tc>
          <w:tcPr>
            <w:tcW w:type="dxa" w:w="21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可见点</w:t>
            </w:r>
          </w:p>
        </w:tc>
        <w:tc>
          <w:tcPr>
            <w:tcW w:type="dxa" w:w="2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需求描述</w:t>
            </w:r>
          </w:p>
        </w:tc>
        <w:tc>
          <w:tcPr>
            <w:tcW w:type="dxa" w:w="28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REQ-SYS-NOTI-001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消息中心工具栏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消息中心应展示刷新和全部已读按钮。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点击刷新重新加载消息；全部已读将所有消息置为已读。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REQ-SYS-NOTI-002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消息筛选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消息中心应展示全部消息和仅看未读筛选。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切换筛选后列表更新。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REQ-SYS-NOTI-003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消息列表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消息列表应展示消息标题、时间、正文摘要和标记已读按钮。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点击消息或标记已读后置为已读并可跳转相关页面。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REQ-SYS-NOTI-004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消息分页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消息中心应提供上一页、下一页和每页条数。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分页切换后保留当前筛选。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REQ-SYS-MGMT-001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系统管理 Tab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系统管理页应展示组织管理卡片和九个 Tab：用户管理、注册登记、租户、项目、租户成员、项目成员、申请/邀请、Worker 下发、资源共享。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超级管理员可见用户管理和注册登记；其他角色按权限显示。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REQ-SYS-MGMT-002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刷新按钮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系统管理页应提供刷新按钮。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点击后重新加载当前 Tab 数据。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REQ-SYS-MGMT-003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用户管理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用户管理 Tab 应提供新建用户、编辑、删除。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用户弹窗包含取消和保存。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REQ-SYS-MGMT-004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租户管理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租户 Tab 应提供新建租户、编辑、删除。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表格列为租户编码、租户名称、描述、启用、操作；租户弹窗包含取消和保存。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REQ-SYS-MGMT-005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项目管理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项目 Tab 应提供新建项目、编辑、删除。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项目弹窗包含取消和保存。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REQ-SYS-MGMT-006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成员管理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租户成员和项目成员 Tab 应分别提供新增成员、新增项目成员、编辑、删除。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成员弹窗包含取消和保存。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REQ-SYS-MGMT-007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申请/邀请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申请/邀请 Tab 应提供新增邀请、编辑、删除和审批相关操作。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申请/邀请弹窗包含取消和保存。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REQ-SYS-MGMT-008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Worker 下发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Worker 下发 Tab 应提供绑定 Worker、编辑、删除。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Worker 下发弹窗包含取消和保存。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REQ-SYS-MGMT-009</w:t>
            </w:r>
          </w:p>
        </w:tc>
        <w:tc>
          <w:tcPr>
            <w:tcW w:type="dxa" w:w="21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资源共享</w:t>
            </w:r>
          </w:p>
        </w:tc>
        <w:tc>
          <w:tcPr>
            <w:tcW w:type="dxa" w:w="2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资源共享 Tab 应提供共享资源、编辑、删除。</w:t>
            </w:r>
          </w:p>
        </w:tc>
        <w:tc>
          <w:tcPr>
            <w:tcW w:type="dxa" w:w="2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无当前项目时共享资源按钮禁用；弹窗包含取消和保存。</w:t>
            </w:r>
          </w:p>
        </w:tc>
      </w:tr>
    </w:tbl>
    <w:p/>
    <w:p>
      <w:pPr>
        <w:pStyle w:val="Heading1"/>
      </w:pPr>
      <w:r>
        <w:t>13. 可见点追踪矩阵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页面</w:t>
            </w:r>
          </w:p>
        </w:tc>
        <w:tc>
          <w:tcPr>
            <w:tcW w:type="dxa" w:w="300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路由</w:t>
            </w:r>
          </w:p>
        </w:tc>
        <w:tc>
          <w:tcPr>
            <w:tcW w:type="dxa" w:w="4460"/>
            <w:shd w:fill="DDEB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已覆盖需求编号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/login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REQ-PUB-LOGIN-001 至 REQ-PUB-LOGIN-008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注册登记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/register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REQ-PUB-REG-001 至 REQ-PUB-REG-006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全局框架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全部登录后页面及重定向路由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REQ-GLB-001 至 REQ-GLB-013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总览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/dashboard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REQ-WS-DASH-001 至 REQ-WS-DASH-007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能力矩阵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/catalog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REQ-WS-CAT-001 至 REQ-WS-CAT-004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访问申请中心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/access-center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REQ-WS-ACC-001 至 REQ-WS-ACC-007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元模型中心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/metadata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REQ-AS-META-001 至 REQ-AS-META-005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数据源中心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/datasources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REQ-AS-DS-001 至 REQ-AS-DS-007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模型中心/模型详情/同步任务详情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/models, /models/:modelId, /models/sync-tasks/:taskId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REQ-AS-MOD-001 至 REQ-AS-MOD-013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统计分析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/statistics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REQ-AS-STAT-001 至 REQ-AS-STAT-006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字段映射规则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/field-mapping-rules, /field-mapping-rules/new, /field-mapping-rules/:ruleId/edit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REQ-COL-RULE-001 至 REQ-COL-RULE-002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采集任务与采集日志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/collection-tasks, /collection-tasks/new, /collection-tasks/:taskId/edit, /collection-task-runs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REQ-COL-TASK-001 至 REQ-COL-TASK-004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指标监控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/run-metrics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REQ-COL-MET-001 至 REQ-COL-MET-002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数据开发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/data-development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REQ-DEV-SCRIPT-001 至 REQ-DEV-SCRIPT-003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工作流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/workflows, /workflows/new, /workflows/:workflowId, /workflows/:workflowId/edit, /runs, /runs/:workflowRunId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REQ-WF-LIST-001 至 REQ-WF-RUN-002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数据服务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/data-services, /data-services/new, /data-services/:serviceId/edit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REQ-SVC-LIST-001 至 REQ-SVC-EDIT-007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数据接入服务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/data-ingestion-services, /data-ingestion-services/new, /data-ingestion-services/:serviceId/edit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REQ-ING-LIST-001 至 REQ-ING-EDIT-009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服务监控与日志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/data-service-metrics, /data-service-metrics/access-logs, /data-ingestion-metrics, /data-ingestion-metrics/access-logs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REQ-MON-SVC-001 至 REQ-MON-ING-LOG-003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数据质量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/quality-rules, /quality-tasks, /quality-task-runs, /quality-metrics 及编辑页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REQ-DQ-RULE-001 至 REQ-DQ-MET-003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消息中心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/notifications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REQ-SYS-NOTI-001 至 REQ-SYS-NOTI-004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系统管理</w:t>
            </w:r>
          </w:p>
        </w:tc>
        <w:tc>
          <w:tcPr>
            <w:tcW w:type="dxa" w:w="30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/system</w:t>
            </w:r>
          </w:p>
        </w:tc>
        <w:tc>
          <w:tcPr>
            <w:tcW w:type="dxa" w:w="44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REQ-SYS-MGMT-001 至 REQ-SYS-MGMT-009</w:t>
            </w:r>
          </w:p>
        </w:tc>
      </w:tr>
    </w:tbl>
    <w:p/>
    <w:p>
      <w:pPr>
        <w:pStyle w:val="Heading1"/>
      </w:pPr>
      <w:r>
        <w:t>14. 验收约束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任一路由新增、删除或重命名时，必须同步更新页面与路由覆盖矩阵。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任一页面新增按钮、筛选项、表格列、弹窗或抽屉时，必须新增对应需求编号。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任一按钮改变跳转、禁用条件或确认逻辑时，必须同步更新验收标准。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数据服务和数据接入服务的 Token、免 Token、默认订阅方、WebService、调用日志入口属于高优先级验收项。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0"/>
        </w:rPr>
        <w:t>采集任务、工作流、质量任务、接入服务的运行日志入口必须保证可达，并按具体运行记录隔离展示。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Data Aggregation 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6666"/>
        <w:sz w:val="18"/>
      </w:rPr>
      <w:t>Data Aggregation Studio 当前页面反向需求规约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3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3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3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444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