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2968-1516760052100"/>
      <w:bookmarkEnd w:id="0"/>
    </w:p>
    <w:p>
      <w:bookmarkStart w:id="1" w:name="5740-1517384228063"/>
      <w:bookmarkEnd w:id="1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0"/>
        <w:gridCol w:w="666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1060" w:type="dxa"/>
            <w:vAlign w:val="center"/>
          </w:tcPr>
          <w:p>
            <w:r>
              <w:rPr>
                <w:b/>
                <w:sz w:val="24"/>
              </w:rPr>
              <w:t>序号</w:t>
            </w:r>
          </w:p>
        </w:tc>
        <w:tc>
          <w:tcPr>
            <w:tcW w:w="6660" w:type="dxa"/>
            <w:vAlign w:val="center"/>
          </w:tcPr>
          <w:p>
            <w:r>
              <w:rPr>
                <w:b/>
                <w:sz w:val="24"/>
              </w:rPr>
              <w:t>规则清单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1060" w:type="dxa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w="6660" w:type="dxa"/>
            <w:vAlign w:val="center"/>
          </w:tcPr>
          <w:p>
            <w:r>
              <w:rPr>
                <w:sz w:val="20"/>
              </w:rPr>
              <w:t>类、方法、变量、数据库字段命名要有含义，不要有歧义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1060" w:type="dxa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w="6660" w:type="dxa"/>
            <w:vAlign w:val="center"/>
          </w:tcPr>
          <w:p>
            <w:r>
              <w:rPr>
                <w:sz w:val="20"/>
              </w:rPr>
              <w:t>方法圈复杂度不超过10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1060" w:type="dxa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w="6660" w:type="dxa"/>
            <w:vAlign w:val="center"/>
          </w:tcPr>
          <w:p>
            <w:r>
              <w:rPr>
                <w:sz w:val="20"/>
              </w:rPr>
              <w:t>方法参数不超过5个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1060" w:type="dxa"/>
            <w:vAlign w:val="center"/>
          </w:tcPr>
          <w:p>
            <w:r>
              <w:rPr>
                <w:sz w:val="20"/>
              </w:rPr>
              <w:t>4</w:t>
            </w:r>
          </w:p>
        </w:tc>
        <w:tc>
          <w:tcPr>
            <w:tcW w:w="6660" w:type="dxa"/>
            <w:vAlign w:val="center"/>
          </w:tcPr>
          <w:p>
            <w:r>
              <w:rPr>
                <w:sz w:val="20"/>
              </w:rPr>
              <w:t>类、方法应具有单一职责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1060" w:type="dxa"/>
            <w:vAlign w:val="center"/>
          </w:tcPr>
          <w:p>
            <w:r>
              <w:rPr>
                <w:sz w:val="20"/>
              </w:rPr>
              <w:t>5</w:t>
            </w:r>
          </w:p>
        </w:tc>
        <w:tc>
          <w:tcPr>
            <w:tcW w:w="6660" w:type="dxa"/>
            <w:vAlign w:val="center"/>
          </w:tcPr>
          <w:p>
            <w:r>
              <w:rPr>
                <w:sz w:val="20"/>
              </w:rPr>
              <w:t>禁止使用魔法数字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1060" w:type="dxa"/>
            <w:vAlign w:val="center"/>
          </w:tcPr>
          <w:p>
            <w:r>
              <w:rPr>
                <w:sz w:val="20"/>
              </w:rPr>
              <w:t>6</w:t>
            </w:r>
          </w:p>
        </w:tc>
        <w:tc>
          <w:tcPr>
            <w:tcW w:w="6660" w:type="dxa"/>
            <w:vAlign w:val="center"/>
          </w:tcPr>
          <w:p>
            <w:r>
              <w:rPr>
                <w:sz w:val="20"/>
              </w:rPr>
              <w:t>不要使用冗长、复杂表达式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1060" w:type="dxa"/>
            <w:vAlign w:val="center"/>
          </w:tcPr>
          <w:p>
            <w:r>
              <w:rPr>
                <w:sz w:val="20"/>
              </w:rPr>
              <w:t>7</w:t>
            </w:r>
          </w:p>
        </w:tc>
        <w:tc>
          <w:tcPr>
            <w:tcW w:w="6660" w:type="dxa"/>
            <w:vAlign w:val="center"/>
          </w:tcPr>
          <w:p>
            <w:r>
              <w:rPr>
                <w:sz w:val="20"/>
              </w:rPr>
              <w:t>恰当处理异常，准确记录日志，禁止异常信息打印到控制台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1060" w:type="dxa"/>
            <w:vAlign w:val="center"/>
          </w:tcPr>
          <w:p>
            <w:r>
              <w:rPr>
                <w:sz w:val="20"/>
              </w:rPr>
              <w:t>8</w:t>
            </w:r>
          </w:p>
        </w:tc>
        <w:tc>
          <w:tcPr>
            <w:tcW w:w="6660" w:type="dxa"/>
            <w:vAlign w:val="center"/>
          </w:tcPr>
          <w:p>
            <w:r>
              <w:rPr>
                <w:sz w:val="20"/>
              </w:rPr>
              <w:t>程序中禁止使用System.out或System.err或System.in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1060" w:type="dxa"/>
            <w:vAlign w:val="center"/>
          </w:tcPr>
          <w:p>
            <w:r>
              <w:rPr>
                <w:sz w:val="20"/>
              </w:rPr>
              <w:t>9</w:t>
            </w:r>
          </w:p>
        </w:tc>
        <w:tc>
          <w:tcPr>
            <w:tcW w:w="6660" w:type="dxa"/>
            <w:vAlign w:val="center"/>
          </w:tcPr>
          <w:p>
            <w:r>
              <w:rPr>
                <w:sz w:val="20"/>
              </w:rPr>
              <w:t>字符串拼接要使用StringBuffer或StringBuilder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1060" w:type="dxa"/>
            <w:vAlign w:val="center"/>
          </w:tcPr>
          <w:p>
            <w:r>
              <w:rPr>
                <w:sz w:val="20"/>
              </w:rPr>
              <w:t>10</w:t>
            </w:r>
          </w:p>
        </w:tc>
        <w:tc>
          <w:tcPr>
            <w:tcW w:w="6660" w:type="dxa"/>
            <w:vAlign w:val="center"/>
          </w:tcPr>
          <w:p>
            <w:r>
              <w:rPr>
                <w:sz w:val="20"/>
              </w:rPr>
              <w:t>字符串比较，集合类判空，IO处理，尽量使用commons等工具类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1060" w:type="dxa"/>
            <w:vAlign w:val="center"/>
          </w:tcPr>
          <w:p>
            <w:r>
              <w:rPr>
                <w:sz w:val="20"/>
              </w:rPr>
              <w:t>11</w:t>
            </w:r>
          </w:p>
        </w:tc>
        <w:tc>
          <w:tcPr>
            <w:tcW w:w="6660" w:type="dxa"/>
            <w:vAlign w:val="center"/>
          </w:tcPr>
          <w:p>
            <w:r>
              <w:rPr>
                <w:sz w:val="20"/>
              </w:rPr>
              <w:t>文件/数据库/中间件编码统一采用UTF-8，字符串(文件流)处理过程中，要指明使用UTF-8编码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1060" w:type="dxa"/>
            <w:vAlign w:val="center"/>
          </w:tcPr>
          <w:p>
            <w:r>
              <w:rPr>
                <w:sz w:val="20"/>
              </w:rPr>
              <w:t>12</w:t>
            </w:r>
          </w:p>
        </w:tc>
        <w:tc>
          <w:tcPr>
            <w:tcW w:w="6660" w:type="dxa"/>
            <w:vAlign w:val="center"/>
          </w:tcPr>
          <w:p>
            <w:r>
              <w:rPr>
                <w:sz w:val="20"/>
              </w:rPr>
              <w:t>使用IO流后要关闭，进行资源回收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1060" w:type="dxa"/>
            <w:vAlign w:val="center"/>
          </w:tcPr>
          <w:p>
            <w:r>
              <w:rPr>
                <w:sz w:val="20"/>
              </w:rPr>
              <w:t>13</w:t>
            </w:r>
          </w:p>
        </w:tc>
        <w:tc>
          <w:tcPr>
            <w:tcW w:w="6660" w:type="dxa"/>
            <w:vAlign w:val="center"/>
          </w:tcPr>
          <w:p>
            <w:r>
              <w:rPr>
                <w:sz w:val="20"/>
              </w:rPr>
              <w:t>文件处理时，要考虑到文件大小，避免内存溢出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1060" w:type="dxa"/>
            <w:vAlign w:val="center"/>
          </w:tcPr>
          <w:p>
            <w:r>
              <w:rPr>
                <w:sz w:val="20"/>
              </w:rPr>
              <w:t>15</w:t>
            </w:r>
          </w:p>
        </w:tc>
        <w:tc>
          <w:tcPr>
            <w:tcW w:w="6660" w:type="dxa"/>
            <w:vAlign w:val="center"/>
          </w:tcPr>
          <w:p>
            <w:r>
              <w:rPr>
                <w:sz w:val="20"/>
              </w:rPr>
              <w:t>在循环中（for,while），禁止编写查询或更新数据库代码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1060" w:type="dxa"/>
            <w:vAlign w:val="center"/>
          </w:tcPr>
          <w:p>
            <w:r>
              <w:rPr>
                <w:sz w:val="20"/>
              </w:rPr>
              <w:t>16</w:t>
            </w:r>
          </w:p>
        </w:tc>
        <w:tc>
          <w:tcPr>
            <w:tcW w:w="6660" w:type="dxa"/>
            <w:vAlign w:val="center"/>
          </w:tcPr>
          <w:p>
            <w:r>
              <w:rPr>
                <w:sz w:val="20"/>
              </w:rPr>
              <w:t>在一次业务处理中（或同一个表单内），禁止从数据库进行重复查询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1060" w:type="dxa"/>
            <w:vAlign w:val="center"/>
          </w:tcPr>
          <w:p>
            <w:r>
              <w:rPr>
                <w:sz w:val="20"/>
              </w:rPr>
              <w:t>17</w:t>
            </w:r>
          </w:p>
        </w:tc>
        <w:tc>
          <w:tcPr>
            <w:tcW w:w="6660" w:type="dxa"/>
            <w:vAlign w:val="center"/>
          </w:tcPr>
          <w:p>
            <w:r>
              <w:rPr>
                <w:sz w:val="20"/>
              </w:rPr>
              <w:t>SQL查询时，禁止使用select *进行查询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1060" w:type="dxa"/>
            <w:vAlign w:val="center"/>
          </w:tcPr>
          <w:p>
            <w:r>
              <w:rPr>
                <w:sz w:val="20"/>
              </w:rPr>
              <w:t>18</w:t>
            </w:r>
          </w:p>
        </w:tc>
        <w:tc>
          <w:tcPr>
            <w:tcW w:w="6660" w:type="dxa"/>
            <w:vAlign w:val="center"/>
          </w:tcPr>
          <w:p>
            <w:r>
              <w:rPr>
                <w:sz w:val="20"/>
              </w:rPr>
              <w:t>SQL查询时，条件语句中带or的话，容易造成全表扫描，可以使用in、union、uion all代替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1060" w:type="dxa"/>
            <w:vAlign w:val="center"/>
          </w:tcPr>
          <w:p>
            <w:r>
              <w:rPr>
                <w:sz w:val="20"/>
              </w:rPr>
              <w:t>19</w:t>
            </w:r>
          </w:p>
        </w:tc>
        <w:tc>
          <w:tcPr>
            <w:tcW w:w="6660" w:type="dxa"/>
            <w:vAlign w:val="center"/>
          </w:tcPr>
          <w:p>
            <w:r>
              <w:rPr>
                <w:sz w:val="20"/>
              </w:rPr>
              <w:t>SQL查询时，通过in来实现的，in中所传参数个数不超过100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1060" w:type="dxa"/>
            <w:vAlign w:val="center"/>
          </w:tcPr>
          <w:p>
            <w:r>
              <w:rPr>
                <w:sz w:val="20"/>
              </w:rPr>
              <w:t>20</w:t>
            </w:r>
          </w:p>
        </w:tc>
        <w:tc>
          <w:tcPr>
            <w:tcW w:w="6660" w:type="dxa"/>
            <w:vAlign w:val="center"/>
          </w:tcPr>
          <w:p>
            <w:r>
              <w:rPr>
                <w:sz w:val="20"/>
              </w:rPr>
              <w:t>修改数据库要维护</w:t>
            </w:r>
            <w:bookmarkStart w:id="5" w:name="_GoBack"/>
            <w:bookmarkEnd w:id="5"/>
            <w:r>
              <w:rPr>
                <w:sz w:val="20"/>
              </w:rPr>
              <w:t>，注意索引、修改版本、备注等信息的维护</w:t>
            </w:r>
          </w:p>
        </w:tc>
      </w:tr>
    </w:tbl>
    <w:p>
      <w:bookmarkStart w:id="2" w:name="9054-1517640474075"/>
      <w:bookmarkEnd w:id="2"/>
    </w:p>
    <w:p>
      <w:bookmarkStart w:id="3" w:name="8149-1516760052100"/>
      <w:bookmarkEnd w:id="3"/>
      <w:r>
        <w:drawing>
          <wp:inline distT="0" distB="0" distL="0" distR="0">
            <wp:extent cx="5267325" cy="3597910"/>
            <wp:effectExtent l="0" t="0" r="9525" b="2540"/>
            <wp:docPr id="1" name="Drawing 0" descr="31753e736ebdafc7dbb83bc76665ce44_407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31753e736ebdafc7dbb83bc76665ce44_40799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9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4" w:name="6226-1516760052100"/>
      <w:bookmarkEnd w:id="4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D6C71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Office_11.1.0.10667_F1E327BC-269C-435d-A152-05C5408002CA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2021-06-23T06:30:00Z</dcterms:created>
  <dc:creator>Apache POI</dc:creator>
  <cp:lastModifiedBy>wds-cmiot</cp:lastModifiedBy>
  <dcterms:modified xsi:type="dcterms:W3CDTF">2021-07-14T10:15:46Z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553E56B1E1D440058F9172A2E645691F</vt:lpwstr>
  </property>
</Properties>
</file>