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3.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1800"/>
        <w:ind/>
        <w:jc w:val="left"/>
        <w:rPr/>
      </w:pPr>
      <w:r>
        <w:rPr>
          <w:b/>
          <w:bCs/>
          <w:color w:val="2e75b6"/>
          <w:sz w:val="44"/>
          <w:szCs w:val="44"/>
        </w:rPr>
        <w:t xml:space="preserve">webDreams</w:t>
      </w:r>
      <w:r/>
    </w:p>
    <w:p>
      <w:pPr>
        <w:pBdr>
          <w:bottom w:val="single" w:color="2e75b6" w:sz="12" w:space="8"/>
        </w:pBdr>
        <w:spacing w:after="600"/>
        <w:ind/>
        <w:rPr/>
      </w:pPr>
      <w:r/>
      <w:r/>
    </w:p>
    <w:p>
      <w:pPr>
        <w:pBdr/>
        <w:spacing w:after="100" w:before="400"/>
        <w:ind/>
        <w:rPr/>
      </w:pPr>
      <w:r>
        <w:rPr>
          <w:b/>
          <w:bCs/>
          <w:color w:val="1a1a1a"/>
          <w:sz w:val="56"/>
          <w:szCs w:val="56"/>
        </w:rPr>
        <w:t xml:space="preserve">Briefing Técnico</w:t>
      </w:r>
      <w:r/>
    </w:p>
    <w:p>
      <w:pPr>
        <w:pBdr/>
        <w:spacing w:after="100"/>
        <w:ind/>
        <w:rPr/>
      </w:pPr>
      <w:r>
        <w:rPr>
          <w:color w:val="555555"/>
          <w:sz w:val="36"/>
          <w:szCs w:val="36"/>
        </w:rPr>
        <w:t xml:space="preserve">Arquitectura del ecosistema</w:t>
      </w:r>
      <w:r/>
    </w:p>
    <w:p>
      <w:pPr>
        <w:pBdr/>
        <w:spacing w:after="600"/>
        <w:ind/>
        <w:rPr/>
      </w:pPr>
      <w:r>
        <w:rPr>
          <w:b/>
          <w:bCs/>
          <w:color w:val="2e75b6"/>
          <w:sz w:val="36"/>
          <w:szCs w:val="36"/>
        </w:rPr>
        <w:t xml:space="preserve">Aramón</w:t>
      </w:r>
      <w:r/>
    </w:p>
    <w:p>
      <w:pPr>
        <w:pBdr/>
        <w:spacing w:after="80"/>
        <w:ind/>
        <w:rPr/>
      </w:pPr>
      <w:r>
        <w:rPr>
          <w:i/>
          <w:iCs/>
          <w:color w:val="555555"/>
          <w:sz w:val="24"/>
          <w:szCs w:val="24"/>
        </w:rPr>
        <w:t xml:space="preserve">Inventario de servidores, módulos funcionales, bases de datos,</w:t>
      </w:r>
      <w:r/>
    </w:p>
    <w:p>
      <w:pPr>
        <w:pBdr/>
        <w:spacing w:after="600"/>
        <w:ind/>
        <w:rPr/>
      </w:pPr>
      <w:r>
        <w:rPr>
          <w:i/>
          <w:iCs/>
          <w:color w:val="555555"/>
          <w:sz w:val="24"/>
          <w:szCs w:val="24"/>
        </w:rPr>
        <w:t xml:space="preserve">procesos, diagnóstico y propuesta de mejora.</w:t>
      </w:r>
      <w:r/>
    </w:p>
    <w:p>
      <w:pPr>
        <w:pBdr/>
        <w:spacing w:after="60" w:before="1600"/>
        <w:ind/>
        <w:rPr/>
      </w:pPr>
      <w:r>
        <w:rPr>
          <w:b/>
          <w:bCs/>
          <w:color w:val="1a1a1a"/>
          <w:sz w:val="22"/>
          <w:szCs w:val="22"/>
        </w:rPr>
        <w:t xml:space="preserve">Documento de propuesta inicial — primera reunión</w:t>
      </w:r>
      <w:r/>
    </w:p>
    <w:p>
      <w:pPr>
        <w:pBdr/>
        <w:spacing w:after="60"/>
        <w:ind/>
        <w:rPr/>
      </w:pPr>
      <w:r>
        <w:rPr>
          <w:color w:val="555555"/>
          <w:sz w:val="20"/>
          <w:szCs w:val="20"/>
        </w:rPr>
        <w:t xml:space="preserve">© webDreams · Junio 2026</w:t>
      </w:r>
      <w:r/>
    </w:p>
    <w:p>
      <w:pPr>
        <w:pBdr/>
        <w:spacing w:after="60"/>
        <w:ind/>
        <w:rPr/>
      </w:pPr>
      <w:r>
        <w:rPr>
          <w:b/>
          <w:bCs/>
          <w:color w:val="c0392b"/>
          <w:sz w:val="20"/>
          <w:szCs w:val="20"/>
        </w:rPr>
        <w:t xml:space="preserve">INFORMACIÓN CONFIDENCIAL</w:t>
      </w:r>
      <w:r/>
    </w:p>
    <w:p>
      <w:pPr>
        <w:pBdr/>
        <w:spacing/>
        <w:ind/>
        <w:rPr/>
        <w:sectPr>
          <w:footerReference w:type="default" r:id="rId9"/>
          <w:footnotePr/>
          <w:endnotePr/>
          <w:type w:val="nextPage"/>
          <w:pgSz w:h="15840" w:orient="portrait" w:w="12240"/>
          <w:pgMar w:top="1440" w:right="1440" w:bottom="1440" w:left="1440" w:header="708" w:footer="708" w:gutter="0"/>
          <w:cols w:num="1" w:sep="0" w:space="1701" w:equalWidth="1"/>
        </w:sectPr>
      </w:pPr>
      <w:r/>
      <w:r/>
    </w:p>
    <w:p>
      <w:pPr>
        <w:pStyle w:val="808"/>
        <w:pBdr/>
        <w:spacing/>
        <w:ind/>
        <w:rPr/>
      </w:pPr>
      <w:r/>
      <w:bookmarkStart w:id="1" w:name="_Toc1"/>
      <w:r>
        <w:t xml:space="preserve">Índice</w:t>
      </w:r>
      <w:r/>
      <w:bookmarkEnd w:id="1"/>
      <w:r/>
      <w:r/>
    </w:p>
    <w:sdt>
      <w:sdtPr>
        <w:alias w:val="Tabla de contenidos"/>
        <w15:appearance w15:val="boundingBox"/>
        <w:rPr/>
      </w:sdtPr>
      <w:sdtContent>
        <w:p w14:paraId="76A1F5ED">
          <w:pPr>
            <w:pStyle w:val="189"/>
            <w:pBdr/>
            <w:tabs>
              <w:tab w:val="right" w:leader="dot" w:pos="9360"/>
            </w:tabs>
            <w:spacing/>
            <w:ind/>
            <w:rPr/>
          </w:pPr>
          <w:r>
            <w:fldChar w:fldCharType="begin"/>
            <w:instrText xml:space="preserve">TOC \h \o "1-2"</w:instrText>
            <w:fldChar w:fldCharType="separate"/>
          </w:r>
          <w:r/>
          <w:hyperlink w:tooltip="#_Toc1" w:anchor="_Toc1" w:history="1">
            <w:r>
              <w:rPr>
                <w:rStyle w:val="801"/>
              </w:rPr>
            </w:r>
            <w:r>
              <w:rPr>
                <w:rStyle w:val="801"/>
              </w:rPr>
              <w:t xml:space="preserve">Índice</w:t>
            </w:r>
            <w:r>
              <w:rPr>
                <w:rStyle w:val="801"/>
              </w:rPr>
            </w:r>
            <w:r>
              <w:tab/>
            </w:r>
            <w:r>
              <w:fldChar w:fldCharType="begin"/>
              <w:instrText xml:space="preserve">PAGEREF _Toc1 \h</w:instrText>
              <w:fldChar w:fldCharType="separate"/>
              <w:t xml:space="preserve">2</w:t>
              <w:fldChar w:fldCharType="end"/>
            </w:r>
          </w:hyperlink>
          <w:r/>
        </w:p>
        <w:p w14:paraId="7B9ECE01">
          <w:pPr>
            <w:pStyle w:val="189"/>
            <w:pBdr/>
            <w:tabs>
              <w:tab w:val="right" w:leader="dot" w:pos="9360"/>
            </w:tabs>
            <w:spacing/>
            <w:ind/>
            <w:rPr/>
          </w:pPr>
          <w:hyperlink w:tooltip="#_Toc2" w:anchor="_Toc2" w:history="1">
            <w:r>
              <w:rPr>
                <w:rStyle w:val="801"/>
              </w:rPr>
            </w:r>
            <w:r>
              <w:rPr>
                <w:rStyle w:val="801"/>
              </w:rPr>
              <w:t xml:space="preserve">1. Contexto y objetivo</w:t>
            </w:r>
            <w:r>
              <w:rPr>
                <w:rStyle w:val="801"/>
              </w:rPr>
            </w:r>
            <w:r>
              <w:tab/>
            </w:r>
            <w:r>
              <w:fldChar w:fldCharType="begin"/>
              <w:instrText xml:space="preserve">PAGEREF _Toc2 \h</w:instrText>
              <w:fldChar w:fldCharType="separate"/>
              <w:t xml:space="preserve">3</w:t>
              <w:fldChar w:fldCharType="end"/>
            </w:r>
          </w:hyperlink>
          <w:r/>
        </w:p>
        <w:p w14:paraId="35284870">
          <w:pPr>
            <w:pStyle w:val="189"/>
            <w:pBdr/>
            <w:tabs>
              <w:tab w:val="right" w:leader="dot" w:pos="9360"/>
            </w:tabs>
            <w:spacing/>
            <w:ind/>
            <w:rPr/>
          </w:pPr>
          <w:hyperlink w:tooltip="#_Toc3" w:anchor="_Toc3" w:history="1">
            <w:r>
              <w:rPr>
                <w:rStyle w:val="801"/>
              </w:rPr>
            </w:r>
            <w:r>
              <w:rPr>
                <w:rStyle w:val="801"/>
              </w:rPr>
              <w:t xml:space="preserve">2. Inventario de servidores</w:t>
            </w:r>
            <w:r>
              <w:rPr>
                <w:rStyle w:val="801"/>
              </w:rPr>
            </w:r>
            <w:r>
              <w:tab/>
            </w:r>
            <w:r>
              <w:fldChar w:fldCharType="begin"/>
              <w:instrText xml:space="preserve">PAGEREF _Toc3 \h</w:instrText>
              <w:fldChar w:fldCharType="separate"/>
              <w:t xml:space="preserve">3</w:t>
              <w:fldChar w:fldCharType="end"/>
            </w:r>
          </w:hyperlink>
          <w:r/>
        </w:p>
        <w:p w14:paraId="3C4128E5">
          <w:pPr>
            <w:pStyle w:val="189"/>
            <w:pBdr/>
            <w:tabs>
              <w:tab w:val="right" w:leader="dot" w:pos="9360"/>
            </w:tabs>
            <w:spacing/>
            <w:ind/>
            <w:rPr/>
          </w:pPr>
          <w:hyperlink w:tooltip="#_Toc4" w:anchor="_Toc4" w:history="1">
            <w:r>
              <w:rPr>
                <w:rStyle w:val="801"/>
              </w:rPr>
            </w:r>
            <w:r>
              <w:rPr>
                <w:rStyle w:val="801"/>
              </w:rPr>
              <w:t xml:space="preserve">3. Arquitectura del ecosistema actual</w:t>
            </w:r>
            <w:r>
              <w:rPr>
                <w:rStyle w:val="801"/>
              </w:rPr>
            </w:r>
            <w:r>
              <w:tab/>
            </w:r>
            <w:r>
              <w:fldChar w:fldCharType="begin"/>
              <w:instrText xml:space="preserve">PAGEREF _Toc4 \h</w:instrText>
              <w:fldChar w:fldCharType="separate"/>
              <w:t xml:space="preserve">4</w:t>
              <w:fldChar w:fldCharType="end"/>
            </w:r>
          </w:hyperlink>
          <w:r/>
        </w:p>
        <w:p w14:paraId="3794B67D">
          <w:pPr>
            <w:pStyle w:val="190"/>
            <w:pBdr/>
            <w:tabs>
              <w:tab w:val="right" w:leader="dot" w:pos="9360"/>
            </w:tabs>
            <w:spacing/>
            <w:ind/>
            <w:rPr/>
          </w:pPr>
          <w:hyperlink w:tooltip="#_Toc5" w:anchor="_Toc5" w:history="1">
            <w:r>
              <w:rPr>
                <w:rStyle w:val="801"/>
              </w:rPr>
            </w:r>
            <w:r>
              <w:rPr>
                <w:rStyle w:val="801"/>
              </w:rPr>
              <w:t xml:space="preserve">3.1. Servidor WEB (ARAMONWEB)</w:t>
            </w:r>
            <w:r>
              <w:rPr>
                <w:rStyle w:val="801"/>
              </w:rPr>
            </w:r>
            <w:r>
              <w:tab/>
            </w:r>
            <w:r>
              <w:fldChar w:fldCharType="begin"/>
              <w:instrText xml:space="preserve">PAGEREF _Toc5 \h</w:instrText>
              <w:fldChar w:fldCharType="separate"/>
              <w:t xml:space="preserve">6</w:t>
              <w:fldChar w:fldCharType="end"/>
            </w:r>
          </w:hyperlink>
          <w:r/>
        </w:p>
        <w:p w14:paraId="788C01E6">
          <w:pPr>
            <w:pStyle w:val="190"/>
            <w:pBdr/>
            <w:tabs>
              <w:tab w:val="right" w:leader="dot" w:pos="9360"/>
            </w:tabs>
            <w:spacing/>
            <w:ind/>
            <w:rPr/>
          </w:pPr>
          <w:hyperlink w:tooltip="#_Toc6" w:anchor="_Toc6" w:history="1">
            <w:r>
              <w:rPr>
                <w:rStyle w:val="801"/>
              </w:rPr>
            </w:r>
            <w:r>
              <w:rPr>
                <w:rStyle w:val="801"/>
              </w:rPr>
              <w:t xml:space="preserve">3.2. Servidor Aramón WS (ARAMONBUSES)</w:t>
            </w:r>
            <w:r>
              <w:rPr>
                <w:rStyle w:val="801"/>
              </w:rPr>
            </w:r>
            <w:r>
              <w:tab/>
            </w:r>
            <w:r>
              <w:fldChar w:fldCharType="begin"/>
              <w:instrText xml:space="preserve">PAGEREF _Toc6 \h</w:instrText>
              <w:fldChar w:fldCharType="separate"/>
              <w:t xml:space="preserve">6</w:t>
              <w:fldChar w:fldCharType="end"/>
            </w:r>
          </w:hyperlink>
          <w:r/>
        </w:p>
        <w:p w14:paraId="008B1A9F">
          <w:pPr>
            <w:pStyle w:val="190"/>
            <w:pBdr/>
            <w:tabs>
              <w:tab w:val="right" w:leader="dot" w:pos="9360"/>
            </w:tabs>
            <w:spacing/>
            <w:ind/>
            <w:rPr/>
          </w:pPr>
          <w:hyperlink w:tooltip="#_Toc7" w:anchor="_Toc7" w:history="1">
            <w:r>
              <w:rPr>
                <w:rStyle w:val="801"/>
              </w:rPr>
            </w:r>
            <w:r>
              <w:rPr>
                <w:rStyle w:val="801"/>
              </w:rPr>
              <w:t xml:space="preserve">3.3. Servidor APP (AramonAPP)</w:t>
            </w:r>
            <w:r>
              <w:rPr>
                <w:rStyle w:val="801"/>
              </w:rPr>
            </w:r>
            <w:r>
              <w:tab/>
            </w:r>
            <w:r>
              <w:fldChar w:fldCharType="begin"/>
              <w:instrText xml:space="preserve">PAGEREF _Toc7 \h</w:instrText>
              <w:fldChar w:fldCharType="separate"/>
              <w:t xml:space="preserve">6</w:t>
              <w:fldChar w:fldCharType="end"/>
            </w:r>
          </w:hyperlink>
          <w:r/>
        </w:p>
        <w:p w14:paraId="2B9B42A7">
          <w:pPr>
            <w:pStyle w:val="190"/>
            <w:pBdr/>
            <w:tabs>
              <w:tab w:val="right" w:leader="dot" w:pos="9360"/>
            </w:tabs>
            <w:spacing/>
            <w:ind/>
            <w:rPr/>
          </w:pPr>
          <w:hyperlink w:tooltip="#_Toc8" w:anchor="_Toc8" w:history="1">
            <w:r>
              <w:rPr>
                <w:rStyle w:val="801"/>
              </w:rPr>
            </w:r>
            <w:r>
              <w:rPr>
                <w:rStyle w:val="801"/>
              </w:rPr>
              <w:t xml:space="preserve">3.4. Servidor SQL (ARAMONSQLSERVER)</w:t>
            </w:r>
            <w:r>
              <w:rPr>
                <w:rStyle w:val="801"/>
              </w:rPr>
            </w:r>
            <w:r>
              <w:tab/>
            </w:r>
            <w:r>
              <w:fldChar w:fldCharType="begin"/>
              <w:instrText xml:space="preserve">PAGEREF _Toc8 \h</w:instrText>
              <w:fldChar w:fldCharType="separate"/>
              <w:t xml:space="preserve">7</w:t>
              <w:fldChar w:fldCharType="end"/>
            </w:r>
          </w:hyperlink>
          <w:r/>
        </w:p>
        <w:p w14:paraId="2278EC12">
          <w:pPr>
            <w:pStyle w:val="190"/>
            <w:pBdr/>
            <w:tabs>
              <w:tab w:val="right" w:leader="dot" w:pos="9360"/>
            </w:tabs>
            <w:spacing/>
            <w:ind/>
            <w:rPr/>
          </w:pPr>
          <w:hyperlink w:tooltip="#_Toc9" w:anchor="_Toc9" w:history="1">
            <w:r>
              <w:rPr>
                <w:rStyle w:val="801"/>
              </w:rPr>
            </w:r>
            <w:r>
              <w:rPr>
                <w:rStyle w:val="801"/>
              </w:rPr>
              <w:t xml:space="preserve">3.5. Aplicaciones de usuario</w:t>
            </w:r>
            <w:r>
              <w:rPr>
                <w:rStyle w:val="801"/>
              </w:rPr>
            </w:r>
            <w:r>
              <w:tab/>
            </w:r>
            <w:r>
              <w:fldChar w:fldCharType="begin"/>
              <w:instrText xml:space="preserve">PAGEREF _Toc9 \h</w:instrText>
              <w:fldChar w:fldCharType="separate"/>
              <w:t xml:space="preserve">7</w:t>
              <w:fldChar w:fldCharType="end"/>
            </w:r>
          </w:hyperlink>
          <w:r/>
        </w:p>
        <w:p w14:paraId="4454A09B">
          <w:pPr>
            <w:pStyle w:val="190"/>
            <w:pBdr/>
            <w:tabs>
              <w:tab w:val="right" w:leader="dot" w:pos="9360"/>
            </w:tabs>
            <w:spacing/>
            <w:ind/>
            <w:rPr/>
          </w:pPr>
          <w:hyperlink w:tooltip="#_Toc10" w:anchor="_Toc10" w:history="1">
            <w:r>
              <w:rPr>
                <w:rStyle w:val="801"/>
              </w:rPr>
            </w:r>
            <w:r>
              <w:rPr>
                <w:rStyle w:val="801"/>
              </w:rPr>
              <w:t xml:space="preserve">3.6. Herramientas de monitorización actuales</w:t>
            </w:r>
            <w:r>
              <w:rPr>
                <w:rStyle w:val="801"/>
              </w:rPr>
            </w:r>
            <w:r>
              <w:tab/>
            </w:r>
            <w:r>
              <w:fldChar w:fldCharType="begin"/>
              <w:instrText xml:space="preserve">PAGEREF _Toc10 \h</w:instrText>
              <w:fldChar w:fldCharType="separate"/>
              <w:t xml:space="preserve">7</w:t>
              <w:fldChar w:fldCharType="end"/>
            </w:r>
          </w:hyperlink>
          <w:r/>
        </w:p>
        <w:p w14:paraId="41946B4F">
          <w:pPr>
            <w:pStyle w:val="189"/>
            <w:pBdr/>
            <w:tabs>
              <w:tab w:val="right" w:leader="dot" w:pos="9360"/>
            </w:tabs>
            <w:spacing/>
            <w:ind/>
            <w:rPr/>
          </w:pPr>
          <w:hyperlink w:tooltip="#_Toc11" w:anchor="_Toc11" w:history="1">
            <w:r>
              <w:rPr>
                <w:rStyle w:val="801"/>
              </w:rPr>
            </w:r>
            <w:r>
              <w:rPr>
                <w:rStyle w:val="801"/>
              </w:rPr>
              <w:t xml:space="preserve">4. Diagnóstico de seguridad</w:t>
            </w:r>
            <w:r>
              <w:rPr>
                <w:rStyle w:val="801"/>
              </w:rPr>
            </w:r>
            <w:r>
              <w:tab/>
            </w:r>
            <w:r>
              <w:fldChar w:fldCharType="begin"/>
              <w:instrText xml:space="preserve">PAGEREF _Toc11 \h</w:instrText>
              <w:fldChar w:fldCharType="separate"/>
              <w:t xml:space="preserve">8</w:t>
              <w:fldChar w:fldCharType="end"/>
            </w:r>
          </w:hyperlink>
          <w:r/>
        </w:p>
        <w:p w14:paraId="3FCA5374">
          <w:pPr>
            <w:pStyle w:val="190"/>
            <w:pBdr/>
            <w:tabs>
              <w:tab w:val="right" w:leader="dot" w:pos="9360"/>
            </w:tabs>
            <w:spacing/>
            <w:ind/>
            <w:rPr/>
          </w:pPr>
          <w:hyperlink w:tooltip="#_Toc12" w:anchor="_Toc12" w:history="1">
            <w:r>
              <w:rPr>
                <w:rStyle w:val="801"/>
              </w:rPr>
            </w:r>
            <w:r>
              <w:rPr>
                <w:rStyle w:val="801"/>
              </w:rPr>
              <w:t xml:space="preserve">4.1. Estado de las protecciones</w:t>
            </w:r>
            <w:r>
              <w:rPr>
                <w:rStyle w:val="801"/>
              </w:rPr>
            </w:r>
            <w:r>
              <w:tab/>
            </w:r>
            <w:r>
              <w:fldChar w:fldCharType="begin"/>
              <w:instrText xml:space="preserve">PAGEREF _Toc12 \h</w:instrText>
              <w:fldChar w:fldCharType="separate"/>
              <w:t xml:space="preserve">8</w:t>
              <w:fldChar w:fldCharType="end"/>
            </w:r>
          </w:hyperlink>
          <w:r/>
        </w:p>
        <w:p w14:paraId="6EA20521">
          <w:pPr>
            <w:pStyle w:val="190"/>
            <w:pBdr/>
            <w:tabs>
              <w:tab w:val="right" w:leader="dot" w:pos="9360"/>
            </w:tabs>
            <w:spacing/>
            <w:ind/>
            <w:rPr/>
          </w:pPr>
          <w:hyperlink w:tooltip="#_Toc13" w:anchor="_Toc13" w:history="1">
            <w:r>
              <w:rPr>
                <w:rStyle w:val="801"/>
              </w:rPr>
            </w:r>
            <w:r>
              <w:rPr>
                <w:rStyle w:val="801"/>
              </w:rPr>
              <w:t xml:space="preserve">4.2. Lo que está correctamente planteado</w:t>
            </w:r>
            <w:r>
              <w:rPr>
                <w:rStyle w:val="801"/>
              </w:rPr>
            </w:r>
            <w:r>
              <w:tab/>
            </w:r>
            <w:r>
              <w:fldChar w:fldCharType="begin"/>
              <w:instrText xml:space="preserve">PAGEREF _Toc13 \h</w:instrText>
              <w:fldChar w:fldCharType="separate"/>
              <w:t xml:space="preserve">8</w:t>
              <w:fldChar w:fldCharType="end"/>
            </w:r>
          </w:hyperlink>
          <w:r/>
        </w:p>
        <w:p w14:paraId="10321082">
          <w:pPr>
            <w:pStyle w:val="190"/>
            <w:pBdr/>
            <w:tabs>
              <w:tab w:val="right" w:leader="dot" w:pos="9360"/>
            </w:tabs>
            <w:spacing/>
            <w:ind/>
            <w:rPr/>
          </w:pPr>
          <w:hyperlink w:tooltip="#_Toc14" w:anchor="_Toc14" w:history="1">
            <w:r>
              <w:rPr>
                <w:rStyle w:val="801"/>
              </w:rPr>
            </w:r>
            <w:r>
              <w:rPr>
                <w:rStyle w:val="801"/>
              </w:rPr>
              <w:t xml:space="preserve">4.3. Correo y DNS</w:t>
            </w:r>
            <w:r>
              <w:rPr>
                <w:rStyle w:val="801"/>
              </w:rPr>
            </w:r>
            <w:r>
              <w:tab/>
            </w:r>
            <w:r>
              <w:fldChar w:fldCharType="begin"/>
              <w:instrText xml:space="preserve">PAGEREF _Toc14 \h</w:instrText>
              <w:fldChar w:fldCharType="separate"/>
              <w:t xml:space="preserve">8</w:t>
              <w:fldChar w:fldCharType="end"/>
            </w:r>
          </w:hyperlink>
          <w:r/>
        </w:p>
        <w:p w14:paraId="4AE7F768">
          <w:pPr>
            <w:pStyle w:val="189"/>
            <w:pBdr/>
            <w:tabs>
              <w:tab w:val="right" w:leader="dot" w:pos="9360"/>
            </w:tabs>
            <w:spacing/>
            <w:ind/>
            <w:rPr/>
          </w:pPr>
          <w:hyperlink w:tooltip="#_Toc15" w:anchor="_Toc15" w:history="1">
            <w:r>
              <w:rPr>
                <w:rStyle w:val="801"/>
              </w:rPr>
            </w:r>
            <w:r>
              <w:rPr>
                <w:rStyle w:val="801"/>
              </w:rPr>
              <w:t xml:space="preserve">5. Diagnóstico de disponibilidad y continuidad</w:t>
            </w:r>
            <w:r>
              <w:rPr>
                <w:rStyle w:val="801"/>
              </w:rPr>
            </w:r>
            <w:r>
              <w:tab/>
            </w:r>
            <w:r>
              <w:fldChar w:fldCharType="begin"/>
              <w:instrText xml:space="preserve">PAGEREF _Toc15 \h</w:instrText>
              <w:fldChar w:fldCharType="separate"/>
              <w:t xml:space="preserve">8</w:t>
              <w:fldChar w:fldCharType="end"/>
            </w:r>
          </w:hyperlink>
          <w:r/>
        </w:p>
        <w:p w14:paraId="4A1AEB21">
          <w:pPr>
            <w:pStyle w:val="189"/>
            <w:pBdr/>
            <w:tabs>
              <w:tab w:val="right" w:leader="dot" w:pos="9360"/>
            </w:tabs>
            <w:spacing/>
            <w:ind/>
            <w:rPr/>
          </w:pPr>
          <w:hyperlink w:tooltip="#_Toc16" w:anchor="_Toc16" w:history="1">
            <w:r>
              <w:rPr>
                <w:rStyle w:val="801"/>
              </w:rPr>
            </w:r>
            <w:r>
              <w:rPr>
                <w:rStyle w:val="801"/>
              </w:rPr>
              <w:t xml:space="preserve">6. Propuestas de mejora</w:t>
            </w:r>
            <w:r>
              <w:rPr>
                <w:rStyle w:val="801"/>
              </w:rPr>
            </w:r>
            <w:r>
              <w:tab/>
            </w:r>
            <w:r>
              <w:fldChar w:fldCharType="begin"/>
              <w:instrText xml:space="preserve">PAGEREF _Toc16 \h</w:instrText>
              <w:fldChar w:fldCharType="separate"/>
              <w:t xml:space="preserve">9</w:t>
              <w:fldChar w:fldCharType="end"/>
            </w:r>
          </w:hyperlink>
          <w:r/>
        </w:p>
        <w:p w14:paraId="0561FC0B">
          <w:pPr>
            <w:pStyle w:val="190"/>
            <w:pBdr/>
            <w:tabs>
              <w:tab w:val="right" w:leader="dot" w:pos="9360"/>
            </w:tabs>
            <w:spacing/>
            <w:ind/>
            <w:rPr/>
          </w:pPr>
          <w:hyperlink w:tooltip="#_Toc17" w:anchor="_Toc17" w:history="1">
            <w:r>
              <w:rPr>
                <w:rStyle w:val="801"/>
              </w:rPr>
            </w:r>
            <w:r>
              <w:rPr>
                <w:rStyle w:val="801"/>
              </w:rPr>
              <w:t xml:space="preserve">6.1. Particionado del servidor de datos</w:t>
            </w:r>
            <w:r>
              <w:rPr>
                <w:rStyle w:val="801"/>
              </w:rPr>
            </w:r>
            <w:r>
              <w:tab/>
            </w:r>
            <w:r>
              <w:fldChar w:fldCharType="begin"/>
              <w:instrText xml:space="preserve">PAGEREF _Toc17 \h</w:instrText>
              <w:fldChar w:fldCharType="separate"/>
              <w:t xml:space="preserve">11</w:t>
              <w:fldChar w:fldCharType="end"/>
            </w:r>
          </w:hyperlink>
          <w:r/>
        </w:p>
        <w:p w14:paraId="42F12B1B">
          <w:pPr>
            <w:pStyle w:val="190"/>
            <w:pBdr/>
            <w:tabs>
              <w:tab w:val="right" w:leader="dot" w:pos="9360"/>
            </w:tabs>
            <w:spacing/>
            <w:ind/>
            <w:rPr/>
          </w:pPr>
          <w:hyperlink w:tooltip="#_Toc18" w:anchor="_Toc18" w:history="1">
            <w:r>
              <w:rPr>
                <w:rStyle w:val="801"/>
              </w:rPr>
            </w:r>
            <w:r>
              <w:rPr>
                <w:rStyle w:val="801"/>
              </w:rPr>
              <w:t xml:space="preserve">6.2. Load Balancer</w:t>
            </w:r>
            <w:r>
              <w:rPr>
                <w:rStyle w:val="801"/>
              </w:rPr>
            </w:r>
            <w:r>
              <w:tab/>
            </w:r>
            <w:r>
              <w:fldChar w:fldCharType="begin"/>
              <w:instrText xml:space="preserve">PAGEREF _Toc18 \h</w:instrText>
              <w:fldChar w:fldCharType="separate"/>
              <w:t xml:space="preserve">11</w:t>
              <w:fldChar w:fldCharType="end"/>
            </w:r>
          </w:hyperlink>
          <w:r/>
        </w:p>
        <w:p w14:paraId="4EB6D812">
          <w:pPr>
            <w:pStyle w:val="190"/>
            <w:pBdr/>
            <w:tabs>
              <w:tab w:val="right" w:leader="dot" w:pos="9360"/>
            </w:tabs>
            <w:spacing/>
            <w:ind/>
            <w:rPr/>
          </w:pPr>
          <w:hyperlink w:tooltip="#_Toc19" w:anchor="_Toc19" w:history="1">
            <w:r>
              <w:rPr>
                <w:rStyle w:val="801"/>
              </w:rPr>
            </w:r>
            <w:r>
              <w:rPr>
                <w:rStyle w:val="801"/>
              </w:rPr>
              <w:t xml:space="preserve">6.3. WAF (firewall de aplicación)</w:t>
            </w:r>
            <w:r>
              <w:rPr>
                <w:rStyle w:val="801"/>
              </w:rPr>
            </w:r>
            <w:r>
              <w:tab/>
            </w:r>
            <w:r>
              <w:fldChar w:fldCharType="begin"/>
              <w:instrText xml:space="preserve">PAGEREF _Toc19 \h</w:instrText>
              <w:fldChar w:fldCharType="separate"/>
              <w:t xml:space="preserve">11</w:t>
              <w:fldChar w:fldCharType="end"/>
            </w:r>
          </w:hyperlink>
          <w:r/>
        </w:p>
        <w:p w14:paraId="1BE6572F">
          <w:pPr>
            <w:pStyle w:val="190"/>
            <w:pBdr/>
            <w:tabs>
              <w:tab w:val="right" w:leader="dot" w:pos="9360"/>
            </w:tabs>
            <w:spacing/>
            <w:ind/>
            <w:rPr/>
          </w:pPr>
          <w:hyperlink w:tooltip="#_Toc20" w:anchor="_Toc20" w:history="1">
            <w:r>
              <w:rPr>
                <w:rStyle w:val="801"/>
              </w:rPr>
            </w:r>
            <w:r>
              <w:rPr>
                <w:rStyle w:val="801"/>
              </w:rPr>
              <w:t xml:space="preserve">6.4. Arquitectura estándar de servidor</w:t>
            </w:r>
            <w:r>
              <w:rPr>
                <w:rStyle w:val="801"/>
              </w:rPr>
            </w:r>
            <w:r>
              <w:tab/>
            </w:r>
            <w:r>
              <w:fldChar w:fldCharType="begin"/>
              <w:instrText xml:space="preserve">PAGEREF _Toc20 \h</w:instrText>
              <w:fldChar w:fldCharType="separate"/>
              <w:t xml:space="preserve">12</w:t>
              <w:fldChar w:fldCharType="end"/>
            </w:r>
          </w:hyperlink>
          <w:r/>
        </w:p>
        <w:p w14:paraId="68990D7B">
          <w:pPr>
            <w:pStyle w:val="190"/>
            <w:pBdr/>
            <w:tabs>
              <w:tab w:val="right" w:leader="dot" w:pos="9360"/>
            </w:tabs>
            <w:spacing/>
            <w:ind/>
            <w:rPr/>
          </w:pPr>
          <w:hyperlink w:tooltip="#_Toc21" w:anchor="_Toc21" w:history="1">
            <w:r>
              <w:rPr>
                <w:rStyle w:val="801"/>
              </w:rPr>
            </w:r>
            <w:r>
              <w:rPr>
                <w:rStyle w:val="801"/>
              </w:rPr>
              <w:t xml:space="preserve">6.5. Copias de seguridad</w:t>
            </w:r>
            <w:r>
              <w:rPr>
                <w:rStyle w:val="801"/>
              </w:rPr>
            </w:r>
            <w:r>
              <w:tab/>
            </w:r>
            <w:r>
              <w:fldChar w:fldCharType="begin"/>
              <w:instrText xml:space="preserve">PAGEREF _Toc21 \h</w:instrText>
              <w:fldChar w:fldCharType="separate"/>
              <w:t xml:space="preserve">12</w:t>
              <w:fldChar w:fldCharType="end"/>
            </w:r>
          </w:hyperlink>
          <w:r/>
        </w:p>
        <w:p w14:paraId="1FBDF4D9">
          <w:pPr>
            <w:pStyle w:val="190"/>
            <w:pBdr/>
            <w:tabs>
              <w:tab w:val="right" w:leader="dot" w:pos="9360"/>
            </w:tabs>
            <w:spacing/>
            <w:ind/>
            <w:rPr/>
          </w:pPr>
          <w:hyperlink w:tooltip="#_Toc22" w:anchor="_Toc22" w:history="1">
            <w:r>
              <w:rPr>
                <w:rStyle w:val="801"/>
              </w:rPr>
            </w:r>
            <w:r>
              <w:rPr>
                <w:rStyle w:val="801"/>
              </w:rPr>
              <w:t xml:space="preserve">6.6. Acceso seguro sin contraseña</w:t>
            </w:r>
            <w:r>
              <w:rPr>
                <w:rStyle w:val="801"/>
              </w:rPr>
            </w:r>
            <w:r>
              <w:tab/>
            </w:r>
            <w:r>
              <w:fldChar w:fldCharType="begin"/>
              <w:instrText xml:space="preserve">PAGEREF _Toc22 \h</w:instrText>
              <w:fldChar w:fldCharType="separate"/>
              <w:t xml:space="preserve">12</w:t>
              <w:fldChar w:fldCharType="end"/>
            </w:r>
          </w:hyperlink>
          <w:r/>
        </w:p>
        <w:p w14:paraId="361B4682">
          <w:pPr>
            <w:pStyle w:val="190"/>
            <w:pBdr/>
            <w:tabs>
              <w:tab w:val="right" w:leader="dot" w:pos="9360"/>
            </w:tabs>
            <w:spacing/>
            <w:ind/>
            <w:rPr/>
          </w:pPr>
          <w:hyperlink w:tooltip="#_Toc23" w:anchor="_Toc23" w:history="1">
            <w:r>
              <w:rPr>
                <w:rStyle w:val="801"/>
              </w:rPr>
            </w:r>
            <w:r>
              <w:rPr>
                <w:rStyle w:val="801"/>
              </w:rPr>
              <w:t xml:space="preserve">6.7. Edición de base de datos: Standard</w:t>
            </w:r>
            <w:r>
              <w:rPr>
                <w:rStyle w:val="801"/>
              </w:rPr>
            </w:r>
            <w:r>
              <w:tab/>
            </w:r>
            <w:r>
              <w:fldChar w:fldCharType="begin"/>
              <w:instrText xml:space="preserve">PAGEREF _Toc23 \h</w:instrText>
              <w:fldChar w:fldCharType="separate"/>
              <w:t xml:space="preserve">12</w:t>
              <w:fldChar w:fldCharType="end"/>
            </w:r>
          </w:hyperlink>
          <w:r/>
        </w:p>
        <w:p w14:paraId="6870B483">
          <w:pPr>
            <w:pStyle w:val="190"/>
            <w:pBdr/>
            <w:tabs>
              <w:tab w:val="right" w:leader="dot" w:pos="9360"/>
            </w:tabs>
            <w:spacing/>
            <w:ind/>
            <w:rPr/>
          </w:pPr>
          <w:hyperlink w:tooltip="#_Toc24" w:anchor="_Toc24" w:history="1">
            <w:r>
              <w:rPr>
                <w:rStyle w:val="801"/>
              </w:rPr>
            </w:r>
            <w:r>
              <w:rPr>
                <w:rStyle w:val="801"/>
              </w:rPr>
              <w:t xml:space="preserve">6.8. Gestión de actualizaciones</w:t>
            </w:r>
            <w:r>
              <w:rPr>
                <w:rStyle w:val="801"/>
              </w:rPr>
            </w:r>
            <w:r>
              <w:tab/>
            </w:r>
            <w:r>
              <w:fldChar w:fldCharType="begin"/>
              <w:instrText xml:space="preserve">PAGEREF _Toc24 \h</w:instrText>
              <w:fldChar w:fldCharType="separate"/>
              <w:t xml:space="preserve">13</w:t>
              <w:fldChar w:fldCharType="end"/>
            </w:r>
          </w:hyperlink>
          <w:r/>
        </w:p>
        <w:p w14:paraId="18D1168D">
          <w:pPr>
            <w:pStyle w:val="190"/>
            <w:pBdr/>
            <w:tabs>
              <w:tab w:val="right" w:leader="dot" w:pos="9360"/>
            </w:tabs>
            <w:spacing/>
            <w:ind/>
            <w:rPr/>
          </w:pPr>
          <w:hyperlink w:tooltip="#_Toc25" w:anchor="_Toc25" w:history="1">
            <w:r>
              <w:rPr>
                <w:rStyle w:val="801"/>
              </w:rPr>
            </w:r>
            <w:r>
              <w:rPr>
                <w:rStyle w:val="801"/>
              </w:rPr>
              <w:t xml:space="preserve">6.9. Monitorización gestionada</w:t>
            </w:r>
            <w:r>
              <w:rPr>
                <w:rStyle w:val="801"/>
              </w:rPr>
            </w:r>
            <w:r>
              <w:tab/>
            </w:r>
            <w:r>
              <w:fldChar w:fldCharType="begin"/>
              <w:instrText xml:space="preserve">PAGEREF _Toc25 \h</w:instrText>
              <w:fldChar w:fldCharType="separate"/>
              <w:t xml:space="preserve">13</w:t>
              <w:fldChar w:fldCharType="end"/>
            </w:r>
          </w:hyperlink>
          <w:r/>
        </w:p>
        <w:p w14:paraId="66843F2C">
          <w:pPr>
            <w:pStyle w:val="190"/>
            <w:pBdr/>
            <w:tabs>
              <w:tab w:val="right" w:leader="dot" w:pos="9360"/>
            </w:tabs>
            <w:spacing/>
            <w:ind/>
            <w:rPr/>
          </w:pPr>
          <w:hyperlink w:tooltip="#_Toc26" w:anchor="_Toc26" w:history="1">
            <w:r>
              <w:rPr>
                <w:rStyle w:val="801"/>
              </w:rPr>
            </w:r>
            <w:r>
              <w:rPr>
                <w:rStyle w:val="801"/>
              </w:rPr>
              <w:t xml:space="preserve">6.10. Pruebas de penetración periódicas</w:t>
            </w:r>
            <w:r>
              <w:rPr>
                <w:rStyle w:val="801"/>
              </w:rPr>
            </w:r>
            <w:r>
              <w:tab/>
            </w:r>
            <w:r>
              <w:fldChar w:fldCharType="begin"/>
              <w:instrText xml:space="preserve">PAGEREF _Toc26 \h</w:instrText>
              <w:fldChar w:fldCharType="separate"/>
              <w:t xml:space="preserve">13</w:t>
              <w:fldChar w:fldCharType="end"/>
            </w:r>
          </w:hyperlink>
          <w:r/>
        </w:p>
        <w:p w14:paraId="78871B0D">
          <w:pPr>
            <w:pStyle w:val="189"/>
            <w:pBdr/>
            <w:tabs>
              <w:tab w:val="right" w:leader="dot" w:pos="9360"/>
            </w:tabs>
            <w:spacing/>
            <w:ind/>
            <w:rPr/>
          </w:pPr>
          <w:hyperlink w:tooltip="#_Toc27" w:anchor="_Toc27" w:history="1">
            <w:r>
              <w:rPr>
                <w:rStyle w:val="801"/>
              </w:rPr>
            </w:r>
            <w:r>
              <w:rPr>
                <w:rStyle w:val="801"/>
              </w:rPr>
              <w:t xml:space="preserve">7. Resumen de impacto y priorización</w:t>
            </w:r>
            <w:r>
              <w:rPr>
                <w:rStyle w:val="801"/>
              </w:rPr>
            </w:r>
            <w:r>
              <w:tab/>
            </w:r>
            <w:r>
              <w:fldChar w:fldCharType="begin"/>
              <w:instrText xml:space="preserve">PAGEREF _Toc27 \h</w:instrText>
              <w:fldChar w:fldCharType="separate"/>
              <w:t xml:space="preserve">13</w:t>
              <w:fldChar w:fldCharType="end"/>
            </w:r>
          </w:hyperlink>
          <w:r/>
        </w:p>
        <w:p w14:paraId="1F782F02">
          <w:pPr>
            <w:pStyle w:val="189"/>
            <w:pBdr/>
            <w:tabs>
              <w:tab w:val="right" w:leader="dot" w:pos="9360"/>
            </w:tabs>
            <w:spacing/>
            <w:ind/>
            <w:rPr/>
          </w:pPr>
          <w:hyperlink w:tooltip="#_Toc28" w:anchor="_Toc28" w:history="1">
            <w:r>
              <w:rPr>
                <w:rStyle w:val="801"/>
              </w:rPr>
            </w:r>
            <w:r>
              <w:rPr>
                <w:rStyle w:val="801"/>
              </w:rPr>
              <w:t xml:space="preserve">8. Puntos a tratar con Aramón</w:t>
            </w:r>
            <w:r>
              <w:rPr>
                <w:rStyle w:val="801"/>
              </w:rPr>
            </w:r>
            <w:r>
              <w:tab/>
            </w:r>
            <w:r>
              <w:fldChar w:fldCharType="begin"/>
              <w:instrText xml:space="preserve">PAGEREF _Toc28 \h</w:instrText>
              <w:fldChar w:fldCharType="separate"/>
              <w:t xml:space="preserve">14</w:t>
              <w:fldChar w:fldCharType="end"/>
            </w:r>
          </w:hyperlink>
          <w:r/>
        </w:p>
        <w:p w14:paraId="48377E5F">
          <w:pPr>
            <w:pStyle w:val="189"/>
            <w:pBdr/>
            <w:tabs>
              <w:tab w:val="right" w:leader="dot" w:pos="9360"/>
            </w:tabs>
            <w:spacing/>
            <w:ind/>
            <w:rPr/>
          </w:pPr>
          <w:hyperlink w:tooltip="#_Toc29" w:anchor="_Toc29" w:history="1">
            <w:r>
              <w:rPr>
                <w:rStyle w:val="801"/>
              </w:rPr>
            </w:r>
            <w:r>
              <w:rPr>
                <w:rStyle w:val="801"/>
              </w:rPr>
              <w:t xml:space="preserve">Anexo A. Adaptación a Azure</w:t>
            </w:r>
            <w:r>
              <w:rPr>
                <w:rStyle w:val="801"/>
              </w:rPr>
            </w:r>
            <w:r>
              <w:tab/>
            </w:r>
            <w:r>
              <w:fldChar w:fldCharType="begin"/>
              <w:instrText xml:space="preserve">PAGEREF _Toc29 \h</w:instrText>
              <w:fldChar w:fldCharType="separate"/>
              <w:t xml:space="preserve">14</w:t>
              <w:fldChar w:fldCharType="end"/>
            </w:r>
          </w:hyperlink>
          <w:r/>
        </w:p>
        <w:p w14:paraId="160C1A82">
          <w:pPr>
            <w:pStyle w:val="189"/>
            <w:pBdr/>
            <w:tabs>
              <w:tab w:val="right" w:leader="dot" w:pos="9360"/>
            </w:tabs>
            <w:spacing/>
            <w:ind/>
            <w:rPr/>
          </w:pPr>
          <w:hyperlink w:tooltip="#_Toc30" w:anchor="_Toc30" w:history="1">
            <w:r>
              <w:rPr>
                <w:rStyle w:val="801"/>
              </w:rPr>
            </w:r>
            <w:r>
              <w:rPr>
                <w:rStyle w:val="801"/>
              </w:rPr>
              <w:t xml:space="preserve">Anexo B. Cumplimiento ENS-Media</w:t>
            </w:r>
            <w:r>
              <w:rPr>
                <w:rStyle w:val="801"/>
              </w:rPr>
            </w:r>
            <w:r>
              <w:tab/>
            </w:r>
            <w:r>
              <w:fldChar w:fldCharType="begin"/>
              <w:instrText xml:space="preserve">PAGEREF _Toc30 \h</w:instrText>
              <w:fldChar w:fldCharType="separate"/>
              <w:t xml:space="preserve">14</w:t>
              <w:fldChar w:fldCharType="end"/>
            </w:r>
          </w:hyperlink>
          <w:r/>
        </w:p>
        <w:p w14:paraId="57E62013">
          <w:pPr>
            <w:pBdr/>
            <w:spacing/>
            <w:ind/>
            <w:rPr/>
          </w:pPr>
          <w:r/>
          <w:r>
            <w:fldChar w:fldCharType="end"/>
          </w:r>
          <w:r/>
          <w:r/>
        </w:p>
      </w:sdtContent>
    </w:sdt>
    <w:p>
      <w:pPr>
        <w:pBdr/>
        <w:spacing/>
        <w:ind/>
        <w:rPr/>
      </w:pPr>
      <w:r>
        <w:br w:type="page" w:clear="all"/>
      </w:r>
      <w:r/>
    </w:p>
    <w:p>
      <w:pPr>
        <w:pStyle w:val="808"/>
        <w:pBdr/>
        <w:spacing/>
        <w:ind/>
        <w:rPr/>
      </w:pPr>
      <w:r/>
      <w:bookmarkStart w:id="2" w:name="_Toc2"/>
      <w:r>
        <w:t xml:space="preserve">1. Contexto y objetivo</w:t>
      </w:r>
      <w:r/>
      <w:bookmarkEnd w:id="2"/>
      <w:r/>
      <w:r/>
    </w:p>
    <w:p>
      <w:pPr>
        <w:pBdr/>
        <w:spacing w:after="120" w:line="276" w:lineRule="auto"/>
        <w:ind/>
        <w:rPr/>
      </w:pPr>
      <w:r>
        <w:t xml:space="preserve">El ecosistema tecnológico de Aramón se asienta sobre una infraestructura definida</w:t>
      </w:r>
      <w:r>
        <w:t xml:space="preserve"> hace más de diez años. Da servicio de forma estable al negocio, pero su planificación original responde a necesidades y prácticas que hoy han quedado superadas: la seguridad es limitada, no existe redundancia y las garantías de disponibilidad son escasas.</w:t>
      </w:r>
      <w:r/>
    </w:p>
    <w:p>
      <w:pPr>
        <w:pBdr/>
        <w:spacing w:after="120" w:line="276" w:lineRule="auto"/>
        <w:ind/>
        <w:rPr/>
      </w:pPr>
      <w:r>
        <w:t xml:space="preserve">El objetivo de esta propuesta es trazar el camino hacia una infraestructura moderna que garantice cuatro pilares:</w:t>
      </w:r>
      <w:r/>
    </w:p>
    <w:p>
      <w:pPr>
        <w:pStyle w:val="800"/>
        <w:numPr>
          <w:ilvl w:val="0"/>
          <w:numId w:val="2"/>
        </w:numPr>
        <w:pBdr/>
        <w:spacing w:after="60" w:line="276" w:lineRule="auto"/>
        <w:ind/>
        <w:rPr/>
      </w:pPr>
      <w:r>
        <w:rPr>
          <w:b/>
          <w:bCs/>
        </w:rPr>
        <w:t xml:space="preserve">Seguridad: </w:t>
      </w:r>
      <w:r>
        <w:t xml:space="preserve">inspección del tráfico, protección por capas y control de accesos.</w:t>
      </w:r>
      <w:r/>
    </w:p>
    <w:p>
      <w:pPr>
        <w:pStyle w:val="800"/>
        <w:numPr>
          <w:ilvl w:val="0"/>
          <w:numId w:val="2"/>
        </w:numPr>
        <w:pBdr/>
        <w:spacing w:after="60" w:line="276" w:lineRule="auto"/>
        <w:ind/>
        <w:rPr/>
      </w:pPr>
      <w:r>
        <w:rPr>
          <w:b/>
          <w:bCs/>
        </w:rPr>
        <w:t xml:space="preserve">Escalabilidad: </w:t>
      </w:r>
      <w:r>
        <w:t xml:space="preserve">capacidad de absorber picos estacionales sin sobredimensionar de forma permanente.</w:t>
      </w:r>
      <w:r/>
    </w:p>
    <w:p>
      <w:pPr>
        <w:pStyle w:val="800"/>
        <w:numPr>
          <w:ilvl w:val="0"/>
          <w:numId w:val="2"/>
        </w:numPr>
        <w:pBdr/>
        <w:spacing w:after="60" w:line="276" w:lineRule="auto"/>
        <w:ind/>
        <w:rPr/>
      </w:pPr>
      <w:r>
        <w:rPr>
          <w:b/>
          <w:bCs/>
        </w:rPr>
        <w:t xml:space="preserve">Disponibilidad: </w:t>
      </w:r>
      <w:r>
        <w:t xml:space="preserve">eliminación de los puntos únicos de fallo y continuidad de los procesos críticos.</w:t>
      </w:r>
      <w:r/>
    </w:p>
    <w:p>
      <w:pPr>
        <w:pStyle w:val="800"/>
        <w:numPr>
          <w:ilvl w:val="0"/>
          <w:numId w:val="2"/>
        </w:numPr>
        <w:pBdr/>
        <w:spacing w:after="60" w:line="276" w:lineRule="auto"/>
        <w:ind/>
        <w:rPr/>
      </w:pPr>
      <w:r>
        <w:rPr>
          <w:b/>
          <w:bCs/>
        </w:rPr>
        <w:t xml:space="preserve">Integridad: </w:t>
      </w:r>
      <w:r>
        <w:t xml:space="preserve">trazabilidad, copias de seguridad fiables y datos consistentes.</w:t>
      </w:r>
      <w:r/>
    </w:p>
    <w:p>
      <w:pPr>
        <w:pBdr/>
        <w:spacing w:after="120" w:line="276" w:lineRule="auto"/>
        <w:ind/>
        <w:rPr/>
      </w:pPr>
      <w:r>
        <w:rPr>
          <w:i/>
          <w:iCs/>
        </w:rPr>
        <w:t xml:space="preserve">Este documento ofrece una primera fotografía del estado actual y un conjunto de propuestas de mejora, planteadas para una reu</w:t>
      </w:r>
      <w:r>
        <w:rPr>
          <w:i/>
          <w:iCs/>
        </w:rPr>
        <w:t xml:space="preserve">nión inicial. No pretende desarrollar cada punto en profundidad, sino ofrecer una visión clara y priorizable. El detalle de adaptación a un proveedor cloud concreto y al cumplimiento normativo se recoge en los anexos, para profundizar en fases posteriores.</w:t>
      </w:r>
      <w:r/>
    </w:p>
    <w:p>
      <w:pPr>
        <w:pStyle w:val="808"/>
        <w:pBdr/>
        <w:spacing/>
        <w:ind/>
        <w:rPr/>
      </w:pPr>
      <w:r/>
      <w:bookmarkStart w:id="3" w:name="_Toc3"/>
      <w:r>
        <w:t xml:space="preserve">2. Inventario de servidores</w:t>
      </w:r>
      <w:r/>
      <w:bookmarkEnd w:id="3"/>
      <w:r/>
      <w:r/>
    </w:p>
    <w:p>
      <w:pPr>
        <w:pBdr/>
        <w:spacing w:after="120" w:line="276" w:lineRule="auto"/>
        <w:ind/>
        <w:rPr/>
      </w:pPr>
      <w:r>
        <w:t xml:space="preserve">El ecosistema se compone actualmente de los si</w:t>
      </w:r>
      <w:r>
        <w:t xml:space="preserve">guientes servidores. Los servidores del núcleo de negocio son máquinas virtuales sobre VMware, con Windows Server 2019 Datacenter, organizadas en grupo de trabajo (sin dominio). El servidor de scraping es una máquina Linux independiente alojada en Hetzner.</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3200"/>
        <w:gridCol w:w="2200"/>
        <w:gridCol w:w="176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rPr/>
            </w:pPr>
            <w:r>
              <w:rPr>
                <w:b/>
                <w:bCs/>
                <w:color w:val="ffffff"/>
                <w:sz w:val="20"/>
                <w:szCs w:val="20"/>
              </w:rPr>
              <w:t xml:space="preserve">Servidor</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b/>
                <w:bCs/>
                <w:color w:val="ffffff"/>
                <w:sz w:val="20"/>
                <w:szCs w:val="20"/>
              </w:rPr>
              <w:t xml:space="preserve">Rol</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rPr/>
            </w:pPr>
            <w:r>
              <w:rPr>
                <w:b/>
                <w:bCs/>
                <w:color w:val="ffffff"/>
                <w:sz w:val="20"/>
                <w:szCs w:val="20"/>
              </w:rPr>
              <w:t xml:space="preserve">SO / Software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60" w:type="dxa"/>
            <w:vAlign w:val="center"/>
          </w:tcPr>
          <w:p>
            <w:pPr>
              <w:pBdr/>
              <w:spacing/>
              <w:ind/>
              <w:rPr/>
            </w:pPr>
            <w:r>
              <w:rPr>
                <w:b/>
                <w:bCs/>
                <w:color w:val="ffffff"/>
                <w:sz w:val="20"/>
                <w:szCs w:val="20"/>
              </w:rPr>
              <w:t xml:space="preserve">Recursos</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rPr/>
            </w:pPr>
            <w:r>
              <w:rPr>
                <w:b/>
                <w:bCs/>
                <w:sz w:val="20"/>
                <w:szCs w:val="20"/>
              </w:rPr>
              <w:t xml:space="preserve">ARAMONWEB</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sz w:val="20"/>
                <w:szCs w:val="20"/>
              </w:rPr>
              <w:t xml:space="preserve">Front B2C, backoffices, parte de nieve, scraping interno</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rPr/>
            </w:pPr>
            <w:r>
              <w:rPr>
                <w:sz w:val="20"/>
                <w:szCs w:val="20"/>
              </w:rPr>
              <w:t xml:space="preserve">WS 2019 Datacenter</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60" w:type="dxa"/>
            <w:vAlign w:val="center"/>
          </w:tcPr>
          <w:p>
            <w:pPr>
              <w:pBdr/>
              <w:spacing/>
              <w:ind/>
              <w:rPr/>
            </w:pPr>
            <w:r>
              <w:rPr>
                <w:sz w:val="20"/>
                <w:szCs w:val="20"/>
              </w:rPr>
              <w:t xml:space="preserve">2 vCPU · 5 GB · 399 GB</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rPr/>
            </w:pPr>
            <w:r>
              <w:rPr>
                <w:b/>
                <w:bCs/>
                <w:sz w:val="20"/>
                <w:szCs w:val="20"/>
              </w:rPr>
              <w:t xml:space="preserve">ARAMONBUSES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sz w:val="20"/>
                <w:szCs w:val="20"/>
              </w:rPr>
              <w:t xml:space="preserve">Servidor «Aramón WS»: webservices SOAP/REST a operadores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rPr/>
            </w:pPr>
            <w:r>
              <w:rPr>
                <w:sz w:val="20"/>
                <w:szCs w:val="20"/>
              </w:rPr>
              <w:t xml:space="preserve">WS 2019 Datacenter</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60" w:type="dxa"/>
            <w:vAlign w:val="center"/>
          </w:tcPr>
          <w:p>
            <w:pPr>
              <w:pBdr/>
              <w:spacing/>
              <w:ind/>
              <w:rPr/>
            </w:pPr>
            <w:r>
              <w:rPr>
                <w:sz w:val="20"/>
                <w:szCs w:val="20"/>
              </w:rPr>
              <w:t xml:space="preserve">1 vCPU · 2,5 GB · 199 GB</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rPr/>
            </w:pPr>
            <w:r>
              <w:rPr>
                <w:b/>
                <w:bCs/>
                <w:sz w:val="20"/>
                <w:szCs w:val="20"/>
              </w:rPr>
              <w:t xml:space="preserve">AramonAPP</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sz w:val="20"/>
                <w:szCs w:val="20"/>
              </w:rPr>
              <w:t xml:space="preserve">API de la app (Spotlio): venta, gamificación, bus clientes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rPr/>
            </w:pPr>
            <w:r>
              <w:rPr>
                <w:sz w:val="20"/>
                <w:szCs w:val="20"/>
              </w:rPr>
              <w:t xml:space="preserve">WS 2019 Datacenter</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60" w:type="dxa"/>
            <w:vAlign w:val="center"/>
          </w:tcPr>
          <w:p>
            <w:pPr>
              <w:pBdr/>
              <w:spacing/>
              <w:ind/>
              <w:rPr/>
            </w:pPr>
            <w:r>
              <w:rPr>
                <w:sz w:val="20"/>
                <w:szCs w:val="20"/>
              </w:rPr>
              <w:t xml:space="preserve">1 vCPU · 3 GB · 49 GB</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rPr/>
            </w:pPr>
            <w:r>
              <w:rPr>
                <w:b/>
                <w:bCs/>
                <w:sz w:val="20"/>
                <w:szCs w:val="20"/>
              </w:rPr>
              <w:t xml:space="preserve">ARAMONSQLSERVER</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sz w:val="20"/>
                <w:szCs w:val="20"/>
              </w:rPr>
              <w:t xml:space="preserve">Todas las bases de datos del ecosistema (19 BBDD)</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rPr/>
            </w:pPr>
            <w:r>
              <w:rPr>
                <w:sz w:val="20"/>
                <w:szCs w:val="20"/>
              </w:rPr>
              <w:t xml:space="preserve">WS 2019 Datacenter + SQL Server </w:t>
            </w:r>
            <w:r>
              <w:rPr>
                <w:b/>
                <w:bCs/>
                <w:sz w:val="20"/>
                <w:szCs w:val="20"/>
              </w:rPr>
              <w:t xml:space="preserve">Enterprise</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60" w:type="dxa"/>
            <w:vAlign w:val="center"/>
          </w:tcPr>
          <w:p>
            <w:pPr>
              <w:pBdr/>
              <w:spacing/>
              <w:ind/>
              <w:rPr/>
            </w:pPr>
            <w:r>
              <w:rPr>
                <w:sz w:val="20"/>
                <w:szCs w:val="20"/>
              </w:rPr>
              <w:t xml:space="preserve">5 vCPU · 10 GB · 499 GB</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rPr/>
            </w:pPr>
            <w:r>
              <w:rPr>
                <w:b/>
                <w:bCs/>
                <w:sz w:val="20"/>
                <w:szCs w:val="20"/>
              </w:rPr>
              <w:t xml:space="preserve">Scraping (Hetzner)</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sz w:val="20"/>
                <w:szCs w:val="20"/>
              </w:rPr>
              <w:t xml:space="preserve">Scraping de ofertas de estancias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rPr/>
            </w:pPr>
            <w:r>
              <w:rPr>
                <w:sz w:val="20"/>
                <w:szCs w:val="20"/>
              </w:rPr>
              <w:t xml:space="preserve">Ubuntu 24.04 LTS · MySQL 8.0</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60" w:type="dxa"/>
            <w:vAlign w:val="center"/>
          </w:tcPr>
          <w:p>
            <w:pPr>
              <w:pBdr/>
              <w:spacing/>
              <w:ind/>
              <w:rPr/>
            </w:pPr>
            <w:r>
              <w:rPr>
                <w:sz w:val="20"/>
                <w:szCs w:val="20"/>
              </w:rPr>
              <w:t xml:space="preserve">4 vCPU · 8 GB · 40 GB</w:t>
            </w:r>
            <w:r/>
          </w:p>
        </w:tc>
      </w:tr>
    </w:tbl>
    <w:p>
      <w:pPr>
        <w:pBdr/>
        <w:spacing w:after="1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8e1"/>
            <w:tcBorders>
              <w:top w:val="single" w:color="b7950b" w:sz="4" w:space="0"/>
              <w:left w:val="single" w:color="b7950b" w:sz="18" w:space="0"/>
              <w:bottom w:val="single" w:color="b7950b" w:sz="4" w:space="0"/>
              <w:right w:val="single" w:color="b7950b" w:sz="4" w:space="0"/>
            </w:tcBorders>
            <w:tcMar>
              <w:left w:w="200" w:type="dxa"/>
              <w:top w:w="140" w:type="dxa"/>
              <w:right w:w="160" w:type="dxa"/>
              <w:bottom w:w="140" w:type="dxa"/>
            </w:tcMar>
            <w:tcW w:w="9360" w:type="dxa"/>
          </w:tcPr>
          <w:p>
            <w:pPr>
              <w:pBdr/>
              <w:spacing w:after="60"/>
              <w:ind/>
              <w:rPr/>
            </w:pPr>
            <w:r>
              <w:rPr>
                <w:b/>
                <w:bCs/>
                <w:color w:val="b7950b"/>
                <w:sz w:val="22"/>
                <w:szCs w:val="22"/>
              </w:rPr>
              <w:t xml:space="preserve">Observación sobre el licenciamiento</w:t>
            </w:r>
            <w:r/>
          </w:p>
          <w:p>
            <w:pPr>
              <w:pBdr/>
              <w:spacing w:after="40"/>
              <w:ind/>
              <w:rPr/>
            </w:pPr>
            <w:r>
              <w:rPr>
                <w:sz w:val="20"/>
                <w:szCs w:val="20"/>
              </w:rPr>
              <w:t xml:space="preserve">Las cuatro máquinas usan Windows Server Datacenter, edición pensada para entornos de alta densidad de virtualización (VM ilimitadas por host). Aquí se trata de máquinas individuales: el caso de uso corresponde a la edición Standard.</w:t>
            </w:r>
            <w:r/>
          </w:p>
          <w:p>
            <w:pPr>
              <w:pBdr/>
              <w:spacing w:after="40"/>
              <w:ind/>
              <w:rPr/>
            </w:pPr>
            <w:r>
              <w:rPr>
                <w:sz w:val="20"/>
                <w:szCs w:val="20"/>
              </w:rPr>
              <w:t xml:space="preserve">De igual modo, el motor de base de datos es SQL Server Enterprise, pero la instancia no está en clúster ni emplea Always On (alta disponibilidad): no se aprovecha ninguna de las funciones que justifican esa edición. Se aborda en el apartado 5.7.</w:t>
            </w:r>
            <w:r/>
          </w:p>
        </w:tc>
      </w:tr>
    </w:tbl>
    <w:p>
      <w:pPr>
        <w:pBdr/>
        <w:spacing w:after="100"/>
        <w:ind/>
        <w:rPr/>
      </w:pPr>
      <w:r/>
      <w:r/>
    </w:p>
    <w:p>
      <w:pPr>
        <w:pBdr/>
        <w:spacing w:after="120" w:line="276" w:lineRule="auto"/>
        <w:ind/>
        <w:rPr/>
      </w:pPr>
      <w:r>
        <w:rPr>
          <w:i/>
          <w:iCs/>
        </w:rPr>
        <w:t xml:space="preserve">El servidor de scraping (ofertas de estancias) s</w:t>
      </w:r>
      <w:r>
        <w:rPr>
          <w:i/>
          <w:iCs/>
        </w:rPr>
        <w:t xml:space="preserve">e incorpora al inventario por completitud, si bien es una pieza auxiliar y autónoma respecto al núcleo transaccional. La landing corporativa aramon.com queda fuera del alcance de este informe, al estar gestionada directamente por el equipo de IT de Aramón.</w:t>
      </w:r>
      <w:r/>
    </w:p>
    <w:p>
      <w:pPr>
        <w:pStyle w:val="808"/>
        <w:pBdr/>
        <w:spacing/>
        <w:ind/>
        <w:rPr/>
      </w:pPr>
      <w:r/>
      <w:bookmarkStart w:id="4" w:name="_Toc4"/>
      <w:r>
        <w:t xml:space="preserve">3. Arquitectura del ecosistema actual</w:t>
      </w:r>
      <w:r/>
      <w:bookmarkEnd w:id="4"/>
      <w:r/>
      <w:r/>
    </w:p>
    <w:p>
      <w:pPr>
        <w:pBdr/>
        <w:spacing w:after="120" w:line="276" w:lineRule="auto"/>
        <w:ind/>
        <w:rPr/>
      </w:pPr>
      <w:r>
        <w:t xml:space="preserve">El siguiente diagrama (en la página apaisada) resume la organización actual del ecosistema.</w:t>
      </w:r>
      <w:r/>
    </w:p>
    <w:p>
      <w:pPr>
        <w:pBdr/>
        <w:spacing/>
        <w:ind/>
        <w:rPr/>
        <w:sectPr>
          <w:footerReference w:type="default" r:id="rId10"/>
          <w:footnotePr/>
          <w:endnotePr/>
          <w:type w:val="nextPage"/>
          <w:pgSz w:h="15840" w:orient="portrait" w:w="12240"/>
          <w:pgMar w:top="1440" w:right="1440" w:bottom="1440" w:left="1440" w:header="708" w:footer="708" w:gutter="0"/>
          <w:cols w:num="1" w:sep="0" w:space="1701" w:equalWidth="1"/>
        </w:sectPr>
      </w:pPr>
      <w:r/>
      <w:r/>
    </w:p>
    <w:p>
      <w:pPr>
        <w:pBdr/>
        <w:spacing w:after="100" w:before="60"/>
        <w:ind/>
        <w:jc w:val="center"/>
        <w:rPr/>
      </w:pPr>
      <w:r>
        <w:rPr>
          <w:b/>
          <w:bCs/>
          <w:color w:val="2e75b6"/>
          <w:sz w:val="22"/>
          <w:szCs w:val="22"/>
        </w:rPr>
        <w:t xml:space="preserve">Figura 1. Ecosistema actual de Aramón.</w:t>
      </w:r>
      <w:r/>
    </w:p>
    <w:p>
      <w:pPr>
        <w:pBdr/>
        <w:spacing w:after="120" w:before="120"/>
        <w:ind/>
        <w:jc w:val="center"/>
        <w:rPr/>
      </w:pPr>
      <w:r>
        <mc:AlternateContent>
          <mc:Choice Requires="wpg">
            <w:drawing>
              <wp:inline xmlns:wp="http://schemas.openxmlformats.org/drawingml/2006/wordprocessingDrawing" distT="0" distB="0" distL="0" distR="0">
                <wp:extent cx="8763000" cy="5629275"/>
                <wp:effectExtent l="0" t="0" r="0" b="0"/>
                <wp:docPr id="1" name="Diagrama del ecosistema actual de Aramón" descr="Diagrama del ecosistema actual de Aramón" title="Diagrama del ecosistema actual de Aram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8763000" cy="5629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690.00pt;height:443.25pt;mso-wrap-distance-left:0.00pt;mso-wrap-distance-top:0.00pt;mso-wrap-distance-right:0.00pt;mso-wrap-distance-bottom:0.00pt;z-index:1;" stroked="false">
                <v:imagedata r:id="rId16" o:title=""/>
                <o:lock v:ext="edit" rotation="t"/>
              </v:shape>
            </w:pict>
          </mc:Fallback>
        </mc:AlternateContent>
      </w:r>
      <w:r/>
    </w:p>
    <w:p>
      <w:pPr>
        <w:pBdr/>
        <w:spacing/>
        <w:ind/>
        <w:rPr/>
        <w:sectPr>
          <w:footerReference w:type="default" r:id="rId11"/>
          <w:footnotePr/>
          <w:endnotePr/>
          <w:type w:val="nextPage"/>
          <w:pgSz w:h="12240" w:orient="landscape" w:w="15840"/>
          <w:pgMar w:top="1080" w:right="1080" w:bottom="1080" w:left="1080" w:header="708" w:footer="708" w:gutter="0"/>
          <w:cols w:num="1" w:sep="0" w:space="1701" w:equalWidth="1"/>
        </w:sectPr>
      </w:pPr>
      <w:r/>
      <w:r/>
    </w:p>
    <w:p>
      <w:pPr>
        <w:pStyle w:val="809"/>
        <w:pBdr/>
        <w:spacing/>
        <w:ind/>
        <w:rPr/>
      </w:pPr>
      <w:r/>
      <w:bookmarkStart w:id="5" w:name="_Toc5"/>
      <w:r>
        <w:t xml:space="preserve">3.1. Servidor WEB (ARAMONWEB)</w:t>
      </w:r>
      <w:r/>
      <w:bookmarkEnd w:id="5"/>
      <w:r/>
      <w:r/>
    </w:p>
    <w:p>
      <w:pPr>
        <w:pBdr/>
        <w:spacing w:after="120" w:line="276" w:lineRule="auto"/>
        <w:ind/>
        <w:rPr/>
      </w:pPr>
      <w:r>
        <w:t xml:space="preserve">Sirve todos los sitios web, el front B2C y diversos backoffices. Es el punto de mayor exposición y el que concentra más procesos de negocio críticos.</w:t>
      </w:r>
      <w:r/>
    </w:p>
    <w:p>
      <w:pPr>
        <w:pBdr/>
        <w:spacing w:after="120" w:line="276" w:lineRule="auto"/>
        <w:ind/>
        <w:rPr/>
      </w:pPr>
      <w:r>
        <w:rPr>
          <w:b/>
          <w:bCs/>
        </w:rPr>
        <w:t xml:space="preserve">Dominios principales: </w:t>
      </w:r>
      <w:r>
        <w:t xml:space="preserve">www.clubaramon.com, partesnieve.aramon.com, ski-pirineos.com.</w:t>
      </w:r>
      <w:r/>
    </w:p>
    <w:p>
      <w:pPr>
        <w:pStyle w:val="810"/>
        <w:pBdr/>
        <w:spacing/>
        <w:ind/>
        <w:rPr/>
      </w:pPr>
      <w:r>
        <w:t xml:space="preserve">Módulos funcionales</w:t>
      </w:r>
      <w:r/>
    </w:p>
    <w:p>
      <w:pPr>
        <w:pStyle w:val="800"/>
        <w:numPr>
          <w:ilvl w:val="0"/>
          <w:numId w:val="2"/>
        </w:numPr>
        <w:pBdr/>
        <w:spacing w:after="60" w:line="276" w:lineRule="auto"/>
        <w:ind/>
        <w:rPr/>
      </w:pPr>
      <w:r>
        <w:t xml:space="preserve">Venta de abonos de temporada</w:t>
      </w:r>
      <w:r/>
    </w:p>
    <w:p>
      <w:pPr>
        <w:pStyle w:val="800"/>
        <w:numPr>
          <w:ilvl w:val="0"/>
          <w:numId w:val="2"/>
        </w:numPr>
        <w:pBdr/>
        <w:spacing w:after="60" w:line="276" w:lineRule="auto"/>
        <w:ind/>
        <w:rPr/>
      </w:pPr>
      <w:r>
        <w:t xml:space="preserve">Venta de forfaits de día</w:t>
      </w:r>
      <w:r/>
    </w:p>
    <w:p>
      <w:pPr>
        <w:pStyle w:val="800"/>
        <w:numPr>
          <w:ilvl w:val="0"/>
          <w:numId w:val="2"/>
        </w:numPr>
        <w:pBdr/>
        <w:spacing w:after="60" w:line="276" w:lineRule="auto"/>
        <w:ind/>
        <w:rPr/>
      </w:pPr>
      <w:r>
        <w:t xml:space="preserve">Promociones</w:t>
      </w:r>
      <w:r/>
    </w:p>
    <w:p>
      <w:pPr>
        <w:pStyle w:val="800"/>
        <w:numPr>
          <w:ilvl w:val="0"/>
          <w:numId w:val="2"/>
        </w:numPr>
        <w:pBdr/>
        <w:spacing w:after="60" w:line="276" w:lineRule="auto"/>
        <w:ind/>
        <w:rPr/>
      </w:pPr>
      <w:r>
        <w:t xml:space="preserve">Gamificación: retos y medallas</w:t>
      </w:r>
      <w:r/>
    </w:p>
    <w:p>
      <w:pPr>
        <w:pStyle w:val="800"/>
        <w:numPr>
          <w:ilvl w:val="0"/>
          <w:numId w:val="2"/>
        </w:numPr>
        <w:pBdr/>
        <w:spacing w:after="60" w:line="276" w:lineRule="auto"/>
        <w:ind/>
        <w:rPr/>
      </w:pPr>
      <w:r>
        <w:t xml:space="preserve">Información «Cuánto he esquiado»</w:t>
      </w:r>
      <w:r/>
    </w:p>
    <w:p>
      <w:pPr>
        <w:pStyle w:val="800"/>
        <w:numPr>
          <w:ilvl w:val="0"/>
          <w:numId w:val="2"/>
        </w:numPr>
        <w:pBdr/>
        <w:spacing w:after="60" w:line="276" w:lineRule="auto"/>
        <w:ind/>
        <w:rPr/>
      </w:pPr>
      <w:r>
        <w:t xml:space="preserve">Zona privada de clientes: tarjetas y agrupación familiar</w:t>
      </w:r>
      <w:r/>
    </w:p>
    <w:p>
      <w:pPr>
        <w:pStyle w:val="800"/>
        <w:numPr>
          <w:ilvl w:val="0"/>
          <w:numId w:val="2"/>
        </w:numPr>
        <w:pBdr/>
        <w:spacing w:after="60" w:line="276" w:lineRule="auto"/>
        <w:ind/>
        <w:rPr/>
      </w:pPr>
      <w:r>
        <w:t xml:space="preserve">Backoffices: B2C, bus de clientes, cashless y tokenización</w:t>
      </w:r>
      <w:r/>
    </w:p>
    <w:p>
      <w:pPr>
        <w:pStyle w:val="800"/>
        <w:numPr>
          <w:ilvl w:val="0"/>
          <w:numId w:val="2"/>
        </w:numPr>
        <w:pBdr/>
        <w:spacing w:after="60" w:line="276" w:lineRule="auto"/>
        <w:ind/>
        <w:rPr/>
      </w:pPr>
      <w:r>
        <w:t xml:space="preserve">Web scraping y publicación de parte de nieve</w:t>
      </w:r>
      <w:r/>
    </w:p>
    <w:p>
      <w:pPr>
        <w:pStyle w:val="800"/>
        <w:numPr>
          <w:ilvl w:val="0"/>
          <w:numId w:val="2"/>
        </w:numPr>
        <w:pBdr/>
        <w:spacing w:after="60" w:line="276" w:lineRule="auto"/>
        <w:ind/>
        <w:rPr/>
      </w:pPr>
      <w:r>
        <w:t xml:space="preserve">WDR, administración de recargas y conexión DTA</w:t>
      </w:r>
      <w:r/>
    </w:p>
    <w:p>
      <w:pPr>
        <w:pStyle w:val="810"/>
        <w:pBdr/>
        <w:spacing/>
        <w:ind/>
        <w:rPr/>
      </w:pPr>
      <w:r>
        <w:t xml:space="preserve">Procesos</w:t>
      </w:r>
      <w:r/>
    </w:p>
    <w:p>
      <w:pPr>
        <w:pStyle w:val="800"/>
        <w:numPr>
          <w:ilvl w:val="0"/>
          <w:numId w:val="2"/>
        </w:numPr>
        <w:pBdr/>
        <w:spacing w:after="60" w:line="276" w:lineRule="auto"/>
        <w:ind/>
        <w:rPr/>
      </w:pPr>
      <w:r>
        <w:rPr>
          <w:b/>
          <w:bCs/>
        </w:rPr>
        <w:t xml:space="preserve">RECARGAS ARAMÓN </w:t>
      </w:r>
      <w:r>
        <w:rPr>
          <w:b/>
          <w:bCs/>
          <w:color w:val="c0392b"/>
        </w:rPr>
        <w:t xml:space="preserve">(crítico)</w:t>
      </w:r>
      <w:r/>
    </w:p>
    <w:p>
      <w:pPr>
        <w:pStyle w:val="800"/>
        <w:numPr>
          <w:ilvl w:val="0"/>
          <w:numId w:val="2"/>
        </w:numPr>
        <w:pBdr/>
        <w:spacing w:after="60" w:line="276" w:lineRule="auto"/>
        <w:ind/>
        <w:rPr/>
      </w:pPr>
      <w:r>
        <w:t xml:space="preserve">Recargas de abonos de temporada</w:t>
      </w:r>
      <w:r/>
    </w:p>
    <w:p>
      <w:pPr>
        <w:pStyle w:val="800"/>
        <w:numPr>
          <w:ilvl w:val="0"/>
          <w:numId w:val="2"/>
        </w:numPr>
        <w:pBdr/>
        <w:spacing w:after="60" w:line="276" w:lineRule="auto"/>
        <w:ind/>
        <w:rPr/>
      </w:pPr>
      <w:r>
        <w:t xml:space="preserve">Bloqueos DTA y cálculo de precios DTA</w:t>
      </w:r>
      <w:r/>
    </w:p>
    <w:p>
      <w:pPr>
        <w:pStyle w:val="800"/>
        <w:numPr>
          <w:ilvl w:val="0"/>
          <w:numId w:val="2"/>
        </w:numPr>
        <w:pBdr/>
        <w:spacing w:after="60" w:line="276" w:lineRule="auto"/>
        <w:ind/>
        <w:rPr/>
      </w:pPr>
      <w:r>
        <w:t xml:space="preserve">Cashless</w:t>
      </w:r>
      <w:r/>
    </w:p>
    <w:p>
      <w:pPr>
        <w:pStyle w:val="800"/>
        <w:numPr>
          <w:ilvl w:val="0"/>
          <w:numId w:val="2"/>
        </w:numPr>
        <w:pBdr/>
        <w:spacing w:after="60" w:line="276" w:lineRule="auto"/>
        <w:ind/>
        <w:rPr/>
      </w:pPr>
      <w:r>
        <w:t xml:space="preserve">Familias numerosas</w:t>
      </w:r>
      <w:r/>
    </w:p>
    <w:p>
      <w:pPr>
        <w:pStyle w:val="800"/>
        <w:numPr>
          <w:ilvl w:val="0"/>
          <w:numId w:val="2"/>
        </w:numPr>
        <w:pBdr/>
        <w:spacing w:after="60" w:line="276" w:lineRule="auto"/>
        <w:ind/>
        <w:rPr/>
      </w:pPr>
      <w:r>
        <w:t xml:space="preserve">Medallas</w:t>
      </w:r>
      <w:r/>
    </w:p>
    <w:p>
      <w:pPr>
        <w:pStyle w:val="800"/>
        <w:numPr>
          <w:ilvl w:val="0"/>
          <w:numId w:val="2"/>
        </w:numPr>
        <w:pBdr/>
        <w:spacing w:after="60" w:line="276" w:lineRule="auto"/>
        <w:ind/>
        <w:rPr/>
      </w:pPr>
      <w:r>
        <w:t xml:space="preserve">Venta cruzada</w:t>
      </w:r>
      <w:r/>
    </w:p>
    <w:p>
      <w:pPr>
        <w:pStyle w:val="800"/>
        <w:numPr>
          <w:ilvl w:val="0"/>
          <w:numId w:val="2"/>
        </w:numPr>
        <w:pBdr/>
        <w:spacing w:after="60" w:line="276" w:lineRule="auto"/>
        <w:ind/>
        <w:rPr/>
      </w:pPr>
      <w:r>
        <w:t xml:space="preserve">Webcam Feratel</w:t>
      </w:r>
      <w:r/>
    </w:p>
    <w:p>
      <w:pPr>
        <w:pStyle w:val="800"/>
        <w:numPr>
          <w:ilvl w:val="0"/>
          <w:numId w:val="2"/>
        </w:numPr>
        <w:pBdr/>
        <w:spacing w:after="60" w:line="276" w:lineRule="auto"/>
        <w:ind/>
        <w:rPr/>
      </w:pPr>
      <w:r>
        <w:t xml:space="preserve">Envío de seguros Reale</w:t>
      </w:r>
      <w:r/>
    </w:p>
    <w:p>
      <w:pPr>
        <w:pStyle w:val="809"/>
        <w:pBdr/>
        <w:spacing/>
        <w:ind/>
        <w:rPr/>
      </w:pPr>
      <w:r/>
      <w:bookmarkStart w:id="6" w:name="_Toc6"/>
      <w:r>
        <w:t xml:space="preserve">3.2. Servidor Aramón WS (ARAMONBUSES)</w:t>
      </w:r>
      <w:r/>
      <w:bookmarkEnd w:id="6"/>
      <w:r/>
      <w:r/>
    </w:p>
    <w:p>
      <w:pPr>
        <w:pBdr/>
        <w:spacing w:after="120" w:line="276" w:lineRule="auto"/>
        <w:ind/>
        <w:rPr/>
      </w:pPr>
      <w:r>
        <w:t xml:space="preserve">Aloja y expone los webservices que emplean operadores externos: Hiberus, Spotlio, Inetum y SkiPirineos. Depende del servidor SQL.</w:t>
      </w:r>
      <w:r/>
    </w:p>
    <w:p>
      <w:pPr>
        <w:pBdr/>
        <w:spacing w:after="120" w:line="276" w:lineRule="auto"/>
        <w:ind/>
        <w:rPr/>
      </w:pPr>
      <w:r>
        <w:rPr>
          <w:b/>
          <w:bCs/>
        </w:rPr>
        <w:t xml:space="preserve">URL principal: </w:t>
      </w:r>
      <w:r>
        <w:t xml:space="preserve">ws.clubaramon.com. Tecnologías: IIS, SOAP y REST.</w:t>
      </w:r>
      <w:r/>
    </w:p>
    <w:p>
      <w:pPr>
        <w:pStyle w:val="800"/>
        <w:numPr>
          <w:ilvl w:val="0"/>
          <w:numId w:val="2"/>
        </w:numPr>
        <w:pBdr/>
        <w:spacing w:after="60" w:line="276" w:lineRule="auto"/>
        <w:ind/>
        <w:rPr/>
      </w:pPr>
      <w:r>
        <w:t xml:space="preserve">Admin Aramón WS (administración interna, usuarios, permisos de tráfico)</w:t>
      </w:r>
      <w:r/>
    </w:p>
    <w:p>
      <w:pPr>
        <w:pStyle w:val="800"/>
        <w:numPr>
          <w:ilvl w:val="0"/>
          <w:numId w:val="2"/>
        </w:numPr>
        <w:pBdr/>
        <w:spacing w:after="60" w:line="276" w:lineRule="auto"/>
        <w:ind/>
        <w:rPr/>
      </w:pPr>
      <w:r>
        <w:t xml:space="preserve">Bus de clientes</w:t>
      </w:r>
      <w:r/>
    </w:p>
    <w:p>
      <w:pPr>
        <w:pStyle w:val="800"/>
        <w:numPr>
          <w:ilvl w:val="0"/>
          <w:numId w:val="2"/>
        </w:numPr>
        <w:pBdr/>
        <w:spacing w:after="60" w:line="276" w:lineRule="auto"/>
        <w:ind/>
        <w:rPr/>
      </w:pPr>
      <w:r>
        <w:t xml:space="preserve">Bus de transacciones</w:t>
      </w:r>
      <w:r/>
    </w:p>
    <w:p>
      <w:pPr>
        <w:pStyle w:val="800"/>
        <w:numPr>
          <w:ilvl w:val="0"/>
          <w:numId w:val="2"/>
        </w:numPr>
        <w:pBdr/>
        <w:spacing w:after="60" w:line="276" w:lineRule="auto"/>
        <w:ind/>
        <w:rPr/>
      </w:pPr>
      <w:r>
        <w:t xml:space="preserve">Cashless, tokenización y cashback (usado por ICG y recargas)</w:t>
      </w:r>
      <w:r/>
    </w:p>
    <w:p>
      <w:pPr>
        <w:pStyle w:val="800"/>
        <w:numPr>
          <w:ilvl w:val="0"/>
          <w:numId w:val="2"/>
        </w:numPr>
        <w:pBdr/>
        <w:spacing w:after="60" w:line="276" w:lineRule="auto"/>
        <w:ind/>
        <w:rPr/>
      </w:pPr>
      <w:r>
        <w:t xml:space="preserve">Integración SFSC (clientes y transacciones), propaga a MKCloud</w:t>
      </w:r>
      <w:r/>
    </w:p>
    <w:p>
      <w:pPr>
        <w:pStyle w:val="809"/>
        <w:pBdr/>
        <w:spacing/>
        <w:ind/>
        <w:rPr/>
      </w:pPr>
      <w:r/>
      <w:bookmarkStart w:id="7" w:name="_Toc7"/>
      <w:r>
        <w:t xml:space="preserve">3.3. Servidor APP (AramonAPP)</w:t>
      </w:r>
      <w:r/>
      <w:bookmarkEnd w:id="7"/>
      <w:r/>
      <w:r/>
    </w:p>
    <w:p>
      <w:pPr>
        <w:pBdr/>
        <w:spacing w:after="120" w:line="276" w:lineRule="auto"/>
        <w:ind/>
        <w:rPr/>
      </w:pPr>
      <w:r>
        <w:t xml:space="preserve">Aloja la API que da servicio a la app (Spotlio), que concentra venta, gamificación y bus de clientes. Depende del servidor SQL. Tecnologías: React, .Net e IIS.</w:t>
      </w:r>
      <w:r/>
    </w:p>
    <w:p>
      <w:pPr>
        <w:pStyle w:val="809"/>
        <w:pBdr/>
        <w:spacing/>
        <w:ind/>
        <w:rPr/>
      </w:pPr>
      <w:r/>
      <w:bookmarkStart w:id="8" w:name="_Toc8"/>
      <w:r>
        <w:t xml:space="preserve">3.4. Servidor SQL (ARAMONSQLSERVER)</w:t>
      </w:r>
      <w:r/>
      <w:bookmarkEnd w:id="8"/>
      <w:r/>
      <w:r/>
    </w:p>
    <w:p>
      <w:pPr>
        <w:pBdr/>
        <w:spacing w:after="120" w:line="276" w:lineRule="auto"/>
        <w:ind/>
        <w:rPr/>
      </w:pPr>
      <w:r>
        <w:t xml:space="preserve">Aloja la totalidad de las bases de datos del ecosistema. Es el corazón del sistema y, a la vez, su mayor concentración de riesgo.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20"/>
        <w:gridCol w:w="1560"/>
        <w:gridCol w:w="3120"/>
        <w:gridCol w:w="156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b/>
                <w:bCs/>
                <w:color w:val="ffffff"/>
                <w:sz w:val="20"/>
                <w:szCs w:val="20"/>
              </w:rPr>
              <w:t xml:space="preserve">Base de datos</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b/>
                <w:bCs/>
                <w:color w:val="ffffff"/>
                <w:sz w:val="20"/>
                <w:szCs w:val="20"/>
              </w:rPr>
              <w:t xml:space="preserve">Tipo</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b/>
                <w:bCs/>
                <w:color w:val="ffffff"/>
                <w:sz w:val="20"/>
                <w:szCs w:val="20"/>
              </w:rPr>
              <w:t xml:space="preserve">Base de datos</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b/>
                <w:bCs/>
                <w:color w:val="ffffff"/>
                <w:sz w:val="20"/>
                <w:szCs w:val="20"/>
              </w:rPr>
              <w:t xml:space="preserve">Tipo</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sz w:val="19"/>
                <w:szCs w:val="19"/>
              </w:rPr>
              <w:t xml:space="preserve">abonoTemporada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sz w:val="19"/>
                <w:szCs w:val="19"/>
              </w:rPr>
              <w:t xml:space="preserve">Negocio</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sz w:val="19"/>
                <w:szCs w:val="19"/>
              </w:rPr>
              <w:t xml:space="preserve">aramonWS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sz w:val="19"/>
                <w:szCs w:val="19"/>
              </w:rPr>
              <w:t xml:space="preserve">Negocio</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sz w:val="19"/>
                <w:szCs w:val="19"/>
              </w:rPr>
              <w:t xml:space="preserve">busTransaccionesV2</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sz w:val="19"/>
                <w:szCs w:val="19"/>
              </w:rPr>
              <w:t xml:space="preserve">Servicio</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sz w:val="19"/>
                <w:szCs w:val="19"/>
              </w:rPr>
              <w:t xml:space="preserve">espejo_abonotemporada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sz w:val="19"/>
                <w:szCs w:val="19"/>
              </w:rPr>
              <w:t xml:space="preserve">Reporting</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sz w:val="19"/>
                <w:szCs w:val="19"/>
              </w:rPr>
              <w:t xml:space="preserve">espejo_promociones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sz w:val="19"/>
                <w:szCs w:val="19"/>
              </w:rPr>
              <w:t xml:space="preserve">Reporting</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sz w:val="19"/>
                <w:szCs w:val="19"/>
              </w:rPr>
              <w:t xml:space="preserve">espejo_skidreams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sz w:val="19"/>
                <w:szCs w:val="19"/>
              </w:rPr>
              <w:t xml:space="preserve">Reporting</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sz w:val="19"/>
                <w:szCs w:val="19"/>
              </w:rPr>
              <w:t xml:space="preserve">espejo_wdDTA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sz w:val="19"/>
                <w:szCs w:val="19"/>
              </w:rPr>
              <w:t xml:space="preserve">Reporting</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sz w:val="19"/>
                <w:szCs w:val="19"/>
              </w:rPr>
              <w:t xml:space="preserve">InterfaceClientesG7</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sz w:val="19"/>
                <w:szCs w:val="19"/>
              </w:rPr>
              <w:t xml:space="preserve">Servicio</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sz w:val="19"/>
                <w:szCs w:val="19"/>
              </w:rPr>
              <w:t xml:space="preserve">Marchica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sz w:val="19"/>
                <w:szCs w:val="19"/>
              </w:rPr>
              <w:t xml:space="preserve">Servicio</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sz w:val="19"/>
                <w:szCs w:val="19"/>
              </w:rPr>
              <w:t xml:space="preserve">PartesNieve</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sz w:val="19"/>
                <w:szCs w:val="19"/>
              </w:rPr>
              <w:t xml:space="preserve">AddIn</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sz w:val="19"/>
                <w:szCs w:val="19"/>
              </w:rPr>
              <w:t xml:space="preserve">Promociones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sz w:val="19"/>
                <w:szCs w:val="19"/>
              </w:rPr>
              <w:t xml:space="preserve">Negocio</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sz w:val="19"/>
                <w:szCs w:val="19"/>
              </w:rPr>
              <w:t xml:space="preserve">SD350_CuantoHeEsquiado</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sz w:val="19"/>
                <w:szCs w:val="19"/>
              </w:rPr>
              <w:t xml:space="preserve">AddIn</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sz w:val="19"/>
                <w:szCs w:val="19"/>
              </w:rPr>
              <w:t xml:space="preserve">SD350_CuantoMeQueda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sz w:val="19"/>
                <w:szCs w:val="19"/>
              </w:rPr>
              <w:t xml:space="preserve">AddIn</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sz w:val="19"/>
                <w:szCs w:val="19"/>
              </w:rPr>
              <w:t xml:space="preserve">busClientesSkidreams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sz w:val="19"/>
                <w:szCs w:val="19"/>
              </w:rPr>
              <w:t xml:space="preserve">Negocio</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sz w:val="19"/>
                <w:szCs w:val="19"/>
              </w:rPr>
              <w:t xml:space="preserve">skidreams_cashback</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sz w:val="19"/>
                <w:szCs w:val="19"/>
              </w:rPr>
              <w:t xml:space="preserve">Negocio</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sz w:val="19"/>
                <w:szCs w:val="19"/>
              </w:rPr>
              <w:t xml:space="preserve">skidreams_cashless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sz w:val="19"/>
                <w:szCs w:val="19"/>
              </w:rPr>
              <w:t xml:space="preserve">Negocio</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sz w:val="19"/>
                <w:szCs w:val="19"/>
              </w:rPr>
              <w:t xml:space="preserve">skidreams_rakings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sz w:val="19"/>
                <w:szCs w:val="19"/>
              </w:rPr>
              <w:t xml:space="preserve">AddIn</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sz w:val="19"/>
                <w:szCs w:val="19"/>
              </w:rPr>
              <w:t xml:space="preserve">skidreams_sfsc</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sz w:val="19"/>
                <w:szCs w:val="19"/>
              </w:rPr>
              <w:t xml:space="preserve">Servicio</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sz w:val="19"/>
                <w:szCs w:val="19"/>
              </w:rPr>
              <w:t xml:space="preserve">wdRecargas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sz w:val="19"/>
                <w:szCs w:val="19"/>
              </w:rPr>
              <w:t xml:space="preserve">Negocio</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vAlign w:val="center"/>
          </w:tcPr>
          <w:p>
            <w:pPr>
              <w:pBdr/>
              <w:spacing/>
              <w:ind/>
              <w:rPr/>
            </w:pPr>
            <w:r>
              <w:rPr>
                <w:sz w:val="19"/>
                <w:szCs w:val="19"/>
              </w:rPr>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vAlign w:val="center"/>
          </w:tcPr>
          <w:p>
            <w:pPr>
              <w:pBdr/>
              <w:spacing/>
              <w:ind/>
              <w:rPr/>
            </w:pPr>
            <w:r>
              <w:rPr>
                <w:sz w:val="19"/>
                <w:szCs w:val="19"/>
              </w:rPr>
            </w:r>
            <w:r/>
          </w:p>
        </w:tc>
      </w:tr>
    </w:tbl>
    <w:p>
      <w:pPr>
        <w:pBdr/>
        <w:spacing w:after="120"/>
        <w:ind/>
        <w:rPr/>
      </w:pPr>
      <w:r/>
      <w:r/>
    </w:p>
    <w:p>
      <w:pPr>
        <w:pStyle w:val="810"/>
        <w:pBdr/>
        <w:spacing/>
        <w:ind/>
        <w:rPr/>
      </w:pPr>
      <w:r>
        <w:t xml:space="preserve">Procesos principales</w:t>
      </w:r>
      <w:r/>
    </w:p>
    <w:p>
      <w:pPr>
        <w:pStyle w:val="800"/>
        <w:numPr>
          <w:ilvl w:val="0"/>
          <w:numId w:val="2"/>
        </w:numPr>
        <w:pBdr/>
        <w:spacing w:after="60" w:line="276" w:lineRule="auto"/>
        <w:ind/>
        <w:rPr/>
      </w:pPr>
      <w:r>
        <w:rPr>
          <w:b/>
          <w:bCs/>
        </w:rPr>
        <w:t xml:space="preserve">ventasG7_perso </w:t>
      </w:r>
      <w:r>
        <w:rPr>
          <w:b/>
          <w:bCs/>
          <w:color w:val="c0392b"/>
        </w:rPr>
        <w:t xml:space="preserve">(servicio crítico)</w:t>
      </w:r>
      <w:r/>
    </w:p>
    <w:p>
      <w:pPr>
        <w:pStyle w:val="800"/>
        <w:numPr>
          <w:ilvl w:val="0"/>
          <w:numId w:val="2"/>
        </w:numPr>
        <w:pBdr/>
        <w:spacing w:after="60" w:line="276" w:lineRule="auto"/>
        <w:ind/>
        <w:rPr/>
      </w:pPr>
      <w:r>
        <w:t xml:space="preserve">asignacionTarjetasCA</w:t>
      </w:r>
      <w:r/>
    </w:p>
    <w:p>
      <w:pPr>
        <w:pStyle w:val="800"/>
        <w:numPr>
          <w:ilvl w:val="0"/>
          <w:numId w:val="2"/>
        </w:numPr>
        <w:pBdr/>
        <w:spacing w:after="60" w:line="276" w:lineRule="auto"/>
        <w:ind/>
        <w:rPr/>
      </w:pPr>
      <w:r>
        <w:t xml:space="preserve">pagosCuotasCA</w:t>
      </w:r>
      <w:r/>
    </w:p>
    <w:p>
      <w:pPr>
        <w:pStyle w:val="800"/>
        <w:numPr>
          <w:ilvl w:val="0"/>
          <w:numId w:val="2"/>
        </w:numPr>
        <w:pBdr/>
        <w:spacing w:after="60" w:line="276" w:lineRule="auto"/>
        <w:ind/>
        <w:rPr/>
      </w:pPr>
      <w:r>
        <w:t xml:space="preserve">skpImportaOperaciones</w:t>
      </w:r>
      <w:r/>
    </w:p>
    <w:p>
      <w:pPr>
        <w:pStyle w:val="800"/>
        <w:numPr>
          <w:ilvl w:val="0"/>
          <w:numId w:val="2"/>
        </w:numPr>
        <w:pBdr/>
        <w:spacing w:after="60" w:line="276" w:lineRule="auto"/>
        <w:ind/>
        <w:rPr/>
      </w:pPr>
      <w:r>
        <w:t xml:space="preserve">CuantoHeEsquiado / CuantoMeQueda</w:t>
      </w:r>
      <w:r/>
    </w:p>
    <w:p>
      <w:pPr>
        <w:pStyle w:val="800"/>
        <w:numPr>
          <w:ilvl w:val="0"/>
          <w:numId w:val="2"/>
        </w:numPr>
        <w:pBdr/>
        <w:spacing w:after="60" w:line="276" w:lineRule="auto"/>
        <w:ind/>
        <w:rPr/>
      </w:pPr>
      <w:r>
        <w:t xml:space="preserve">Medallas y Rankings</w:t>
      </w:r>
      <w:r/>
    </w:p>
    <w:p>
      <w:pPr>
        <w:pStyle w:val="800"/>
        <w:numPr>
          <w:ilvl w:val="0"/>
          <w:numId w:val="2"/>
        </w:numPr>
        <w:pBdr/>
        <w:spacing w:after="60" w:line="276" w:lineRule="auto"/>
        <w:ind/>
        <w:rPr/>
      </w:pPr>
      <w:r>
        <w:t xml:space="preserve">exportEspejo y exportBusDeTransacciones</w:t>
      </w:r>
      <w:r/>
    </w:p>
    <w:p>
      <w:pPr>
        <w:pStyle w:val="809"/>
        <w:pBdr/>
        <w:spacing/>
        <w:ind/>
        <w:rPr/>
      </w:pPr>
      <w:r/>
      <w:bookmarkStart w:id="9" w:name="_Toc9"/>
      <w:r>
        <w:t xml:space="preserve">3.5. Aplicaciones de usuario</w:t>
      </w:r>
      <w:r/>
      <w:bookmarkEnd w:id="9"/>
      <w:r/>
      <w:r/>
    </w:p>
    <w:p>
      <w:pPr>
        <w:pStyle w:val="800"/>
        <w:numPr>
          <w:ilvl w:val="0"/>
          <w:numId w:val="2"/>
        </w:numPr>
        <w:pBdr/>
        <w:spacing w:after="60" w:line="276" w:lineRule="auto"/>
        <w:ind/>
        <w:rPr/>
      </w:pPr>
      <w:r>
        <w:rPr>
          <w:b/>
          <w:bCs/>
        </w:rPr>
        <w:t xml:space="preserve">La Flor: </w:t>
      </w:r>
      <w:r>
        <w:t xml:space="preserve">gestión de colectivos, clientes y tarjetas; información de ventas PPUs y prepagos (AEAT – SII).</w:t>
      </w:r>
      <w:r/>
    </w:p>
    <w:p>
      <w:pPr>
        <w:pStyle w:val="800"/>
        <w:numPr>
          <w:ilvl w:val="0"/>
          <w:numId w:val="2"/>
        </w:numPr>
        <w:pBdr/>
        <w:spacing w:after="60" w:line="276" w:lineRule="auto"/>
        <w:ind/>
        <w:rPr/>
      </w:pPr>
      <w:r>
        <w:rPr>
          <w:b/>
          <w:bCs/>
        </w:rPr>
        <w:t xml:space="preserve">Pago Cuota Aramón: </w:t>
      </w:r>
      <w:r>
        <w:t xml:space="preserve">comprobación en taquillas del pago de cuota previo a la venta de forfaits.</w:t>
      </w:r>
      <w:r/>
    </w:p>
    <w:p>
      <w:pPr>
        <w:pStyle w:val="809"/>
        <w:pBdr/>
        <w:spacing/>
        <w:ind/>
        <w:rPr/>
      </w:pPr>
      <w:r/>
      <w:bookmarkStart w:id="10" w:name="_Toc10"/>
      <w:r>
        <w:t xml:space="preserve">3.6. Herramientas de monitorización actuales</w:t>
      </w:r>
      <w:r/>
      <w:bookmarkEnd w:id="10"/>
      <w:r/>
      <w:r/>
    </w:p>
    <w:p>
      <w:pPr>
        <w:pStyle w:val="800"/>
        <w:numPr>
          <w:ilvl w:val="0"/>
          <w:numId w:val="2"/>
        </w:numPr>
        <w:pBdr/>
        <w:spacing w:after="60" w:line="276" w:lineRule="auto"/>
        <w:ind/>
        <w:rPr/>
      </w:pPr>
      <w:r>
        <w:rPr>
          <w:b/>
          <w:bCs/>
        </w:rPr>
        <w:t xml:space="preserve">Grafana: </w:t>
      </w:r>
      <w:r>
        <w:t xml:space="preserve">métricas de servidor (CPU, RAM, disco, red).</w:t>
      </w:r>
      <w:r/>
    </w:p>
    <w:p>
      <w:pPr>
        <w:pStyle w:val="800"/>
        <w:numPr>
          <w:ilvl w:val="0"/>
          <w:numId w:val="2"/>
        </w:numPr>
        <w:pBdr/>
        <w:spacing w:after="60" w:line="276" w:lineRule="auto"/>
        <w:ind/>
        <w:rPr/>
      </w:pPr>
      <w:r>
        <w:rPr>
          <w:b/>
          <w:bCs/>
        </w:rPr>
        <w:t xml:space="preserve">SQL Profiler: </w:t>
      </w:r>
      <w:r>
        <w:t xml:space="preserve">análisis en tiempo real de las consultas al servidor SQL.</w:t>
      </w:r>
      <w:r/>
    </w:p>
    <w:p>
      <w:pPr>
        <w:pStyle w:val="800"/>
        <w:numPr>
          <w:ilvl w:val="0"/>
          <w:numId w:val="2"/>
        </w:numPr>
        <w:pBdr/>
        <w:spacing w:after="60" w:line="276" w:lineRule="auto"/>
        <w:ind/>
        <w:rPr/>
      </w:pPr>
      <w:r>
        <w:rPr>
          <w:b/>
          <w:bCs/>
        </w:rPr>
        <w:t xml:space="preserve">Management Studio: </w:t>
      </w:r>
      <w:r>
        <w:t xml:space="preserve">estado del servidor.</w:t>
      </w:r>
      <w:r/>
    </w:p>
    <w:p>
      <w:pPr>
        <w:pStyle w:val="800"/>
        <w:numPr>
          <w:ilvl w:val="0"/>
          <w:numId w:val="2"/>
        </w:numPr>
        <w:pBdr/>
        <w:spacing w:after="60" w:line="276" w:lineRule="auto"/>
        <w:ind/>
        <w:rPr/>
      </w:pPr>
      <w:r>
        <w:rPr>
          <w:b/>
          <w:bCs/>
        </w:rPr>
        <w:t xml:space="preserve">WD Monitor de procesos: </w:t>
      </w:r>
      <w:r>
        <w:t xml:space="preserve">herramienta interna que avisa de la caída y restauración de procesos.</w:t>
      </w:r>
      <w:r/>
    </w:p>
    <w:p>
      <w:pPr>
        <w:pStyle w:val="808"/>
        <w:pBdr/>
        <w:spacing/>
        <w:ind/>
        <w:rPr/>
      </w:pPr>
      <w:r/>
      <w:bookmarkStart w:id="11" w:name="_Toc11"/>
      <w:r>
        <w:t xml:space="preserve">4. Diagnóstico de seguridad</w:t>
      </w:r>
      <w:r/>
      <w:bookmarkEnd w:id="11"/>
      <w:r/>
      <w:r/>
    </w:p>
    <w:p>
      <w:pPr>
        <w:pBdr/>
        <w:spacing w:after="120" w:line="276" w:lineRule="auto"/>
        <w:ind/>
        <w:rPr/>
      </w:pPr>
      <w:r>
        <w:t xml:space="preserve">Ac</w:t>
      </w:r>
      <w:r>
        <w:t xml:space="preserve">tualmente, las medidas de protección de la aplicación se apoyan en las capacidades nativas de IIS y en el firewall perimetral del proveedor de hosting. A partir del análisis realizado, el estado real de la seguridad presenta las siguientes características: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be9e7"/>
            <w:tcBorders>
              <w:top w:val="single" w:color="c0392b" w:sz="4" w:space="0"/>
              <w:left w:val="single" w:color="c0392b" w:sz="18" w:space="0"/>
              <w:bottom w:val="single" w:color="c0392b" w:sz="4" w:space="0"/>
              <w:right w:val="single" w:color="c0392b" w:sz="4" w:space="0"/>
            </w:tcBorders>
            <w:tcMar>
              <w:left w:w="200" w:type="dxa"/>
              <w:top w:w="140" w:type="dxa"/>
              <w:right w:w="160" w:type="dxa"/>
              <w:bottom w:w="140" w:type="dxa"/>
            </w:tcMar>
            <w:tcW w:w="9360" w:type="dxa"/>
          </w:tcPr>
          <w:p>
            <w:pPr>
              <w:pBdr/>
              <w:spacing w:after="60"/>
              <w:ind/>
              <w:rPr/>
            </w:pPr>
            <w:r>
              <w:rPr>
                <w:b/>
                <w:bCs/>
                <w:color w:val="c0392b"/>
                <w:sz w:val="22"/>
                <w:szCs w:val="22"/>
              </w:rPr>
              <w:t xml:space="preserve">Hallazgo principal</w:t>
            </w:r>
            <w:r/>
          </w:p>
          <w:p>
            <w:pPr>
              <w:pBdr/>
              <w:spacing w:after="40"/>
              <w:ind/>
              <w:rPr/>
            </w:pPr>
            <w:r>
              <w:rPr>
                <w:sz w:val="20"/>
                <w:szCs w:val="20"/>
              </w:rPr>
              <w:t xml:space="preserve">No e</w:t>
            </w:r>
            <w:r>
              <w:rPr>
                <w:sz w:val="20"/>
                <w:szCs w:val="20"/>
              </w:rPr>
              <w:t xml:space="preserve">xiste un WAF (firewall de aplicación). Los dominios apuntan directamente a la IP de los servidores, lo que deja al ecosistema sin inspección en la capa de aplicación frente a los vectores de ataque más habituales (OWASP Top 10, abusos de API, inyecciones).</w:t>
            </w:r>
            <w:r/>
          </w:p>
        </w:tc>
      </w:tr>
    </w:tbl>
    <w:p>
      <w:pPr>
        <w:pBdr/>
        <w:spacing w:after="100"/>
        <w:ind/>
        <w:rPr/>
      </w:pPr>
      <w:r/>
      <w:r/>
    </w:p>
    <w:p>
      <w:pPr>
        <w:pStyle w:val="809"/>
        <w:pBdr/>
        <w:spacing/>
        <w:ind/>
        <w:rPr/>
      </w:pPr>
      <w:r/>
      <w:bookmarkStart w:id="12" w:name="_Toc12"/>
      <w:r>
        <w:t xml:space="preserve">4.1. Estado de las protecciones</w:t>
      </w:r>
      <w:r/>
      <w:bookmarkEnd w:id="12"/>
      <w:r/>
      <w:r/>
    </w:p>
    <w:p>
      <w:pPr>
        <w:pStyle w:val="800"/>
        <w:numPr>
          <w:ilvl w:val="0"/>
          <w:numId w:val="2"/>
        </w:numPr>
        <w:pBdr/>
        <w:spacing w:after="60" w:line="276" w:lineRule="auto"/>
        <w:ind/>
        <w:rPr/>
      </w:pPr>
      <w:r>
        <w:rPr>
          <w:b/>
          <w:bCs/>
        </w:rPr>
        <w:t xml:space="preserve">Filtrado por IP: </w:t>
      </w:r>
      <w:r>
        <w:t xml:space="preserve">el módulo está instalado pero sin reglas configuradas en prácticamente todos los servicios. La única excepción es la app, que mantiene una lista blanca con la IP de oficina (y sin lista negra), orientada al acceso de gestión.</w:t>
      </w:r>
      <w:r/>
    </w:p>
    <w:p>
      <w:pPr>
        <w:pStyle w:val="800"/>
        <w:numPr>
          <w:ilvl w:val="0"/>
          <w:numId w:val="2"/>
        </w:numPr>
        <w:pBdr/>
        <w:spacing w:after="60" w:line="276" w:lineRule="auto"/>
        <w:ind/>
        <w:rPr/>
      </w:pPr>
      <w:r>
        <w:rPr>
          <w:b/>
          <w:bCs/>
        </w:rPr>
        <w:t xml:space="preserve">Reglas de tráfico: </w:t>
      </w:r>
      <w:r>
        <w:t xml:space="preserve">los límites por concurrencia y por frecuencia están desactivados en todos los servicios.</w:t>
      </w:r>
      <w:r/>
    </w:p>
    <w:p>
      <w:pPr>
        <w:pStyle w:val="800"/>
        <w:numPr>
          <w:ilvl w:val="0"/>
          <w:numId w:val="2"/>
        </w:numPr>
        <w:pBdr/>
        <w:spacing w:after="60" w:line="276" w:lineRule="auto"/>
        <w:ind/>
        <w:rPr/>
      </w:pPr>
      <w:r>
        <w:rPr>
          <w:b/>
          <w:bCs/>
        </w:rPr>
        <w:t xml:space="preserve">Cabeceras de seguridad: </w:t>
      </w:r>
      <w:r>
        <w:t xml:space="preserve">únicamente se aplica la redirección de HTTP (80) a HTTPS (443). No se aplican cabeceras (HSTS, CSP), control de exposición de información en páginas de error ni protección específica de endpoints sensibles.</w:t>
      </w:r>
      <w:r/>
    </w:p>
    <w:p>
      <w:pPr>
        <w:pStyle w:val="800"/>
        <w:numPr>
          <w:ilvl w:val="0"/>
          <w:numId w:val="2"/>
        </w:numPr>
        <w:pBdr/>
        <w:spacing w:after="60" w:line="276" w:lineRule="auto"/>
        <w:ind/>
        <w:rPr/>
      </w:pPr>
      <w:r>
        <w:rPr>
          <w:b/>
          <w:bCs/>
        </w:rPr>
        <w:t xml:space="preserve">Protección del host: </w:t>
      </w:r>
      <w:r>
        <w:t xml:space="preserve">en los servidores Windows, el firewall y el antivirus de Windows Defender se encuentran desactivados. La protección del host recae así en exclusiva sobre el firewall perimetral del proveedor.</w:t>
      </w:r>
      <w:r/>
    </w:p>
    <w:p>
      <w:pPr>
        <w:pStyle w:val="809"/>
        <w:pBdr/>
        <w:spacing/>
        <w:ind/>
        <w:rPr/>
      </w:pPr>
      <w:r/>
      <w:bookmarkStart w:id="13" w:name="_Toc13"/>
      <w:r>
        <w:t xml:space="preserve">4.2. Lo que está correctamente planteado</w:t>
      </w:r>
      <w:r/>
      <w:bookmarkEnd w:id="13"/>
      <w:r/>
      <w:r/>
    </w:p>
    <w:p>
      <w:pPr>
        <w:pBdr/>
        <w:spacing w:after="120" w:line="276" w:lineRule="auto"/>
        <w:ind/>
        <w:rPr/>
      </w:pPr>
      <w:r>
        <w:t xml:space="preserve">El firewall de control de acceso (RDP, puertos de base de datos, etc.) sigue un criterio acertado: todo cerrado por defecto, abriendo únicamente lo necesario. Es una buena base sobre la que construir.</w:t>
      </w:r>
      <w:r/>
    </w:p>
    <w:p>
      <w:pPr>
        <w:pStyle w:val="809"/>
        <w:pBdr/>
        <w:spacing/>
        <w:ind/>
        <w:rPr/>
      </w:pPr>
      <w:r/>
      <w:bookmarkStart w:id="14" w:name="_Toc14"/>
      <w:r>
        <w:t xml:space="preserve">4.3. Correo y DNS</w:t>
      </w:r>
      <w:r/>
      <w:bookmarkEnd w:id="14"/>
      <w:r/>
      <w:r/>
    </w:p>
    <w:p>
      <w:pPr>
        <w:pBdr/>
        <w:spacing w:after="120" w:line="276" w:lineRule="auto"/>
        <w:ind/>
        <w:rPr/>
      </w:pPr>
      <w:r>
        <w:t xml:space="preserve">Se gestionan un conjunto acotado de direcciones de correo asociadas a la</w:t>
      </w:r>
      <w:r>
        <w:t xml:space="preserve">s aplicaciones y, en el caso del dominio aramon.com, se dispone del control del DNS, lo que facilita incorporar los registros que la nueva arquitectura requiera (por ejemplo, para la puesta en marcha de un WAF/CDN o de validaciones de seguridad de correo).</w:t>
      </w:r>
      <w:r/>
    </w:p>
    <w:p>
      <w:pPr>
        <w:pStyle w:val="808"/>
        <w:pBdr/>
        <w:spacing/>
        <w:ind/>
        <w:rPr/>
      </w:pPr>
      <w:r/>
      <w:bookmarkStart w:id="15" w:name="_Toc15"/>
      <w:r>
        <w:t xml:space="preserve">5. Diagnóstico de disponibilidad y continuidad</w:t>
      </w:r>
      <w:r/>
      <w:bookmarkEnd w:id="15"/>
      <w:r/>
      <w:r/>
    </w:p>
    <w:p>
      <w:pPr>
        <w:pBdr/>
        <w:spacing w:after="120" w:line="276" w:lineRule="auto"/>
        <w:ind/>
        <w:rPr/>
      </w:pPr>
      <w:r>
        <w:t xml:space="preserve">Más allá de la seguridad, la arquitectura actual presenta debilidades estructurales en disponibilidad y continuidad:</w:t>
      </w:r>
      <w:r/>
    </w:p>
    <w:p>
      <w:pPr>
        <w:pStyle w:val="800"/>
        <w:numPr>
          <w:ilvl w:val="0"/>
          <w:numId w:val="2"/>
        </w:numPr>
        <w:pBdr/>
        <w:spacing w:after="60" w:line="276" w:lineRule="auto"/>
        <w:ind/>
        <w:rPr/>
      </w:pPr>
      <w:r>
        <w:rPr>
          <w:b/>
          <w:bCs/>
        </w:rPr>
        <w:t xml:space="preserve">Puntos únicos de fallo (SPOF): </w:t>
      </w:r>
      <w:r>
        <w:t xml:space="preserve">los servidores WEB, WS y SQL son puntos únicos de entrada. No hay redundancia ni balanceo en ninguna capa.</w:t>
      </w:r>
      <w:r/>
    </w:p>
    <w:p>
      <w:pPr>
        <w:pStyle w:val="800"/>
        <w:numPr>
          <w:ilvl w:val="0"/>
          <w:numId w:val="2"/>
        </w:numPr>
        <w:pBdr/>
        <w:spacing w:after="60" w:line="276" w:lineRule="auto"/>
        <w:ind/>
        <w:rPr/>
      </w:pPr>
      <w:r>
        <w:rPr>
          <w:b/>
          <w:bCs/>
        </w:rPr>
        <w:t xml:space="preserve">SQL monolítico: </w:t>
      </w:r>
      <w:r>
        <w:t xml:space="preserve">un único servidor mezcla cargas transaccionales de venta con cargas de reporting (bases «espejo»), que compiten por los mismos recursos. Es un cuello de botella.</w:t>
      </w:r>
      <w:r/>
    </w:p>
    <w:p>
      <w:pPr>
        <w:pStyle w:val="800"/>
        <w:numPr>
          <w:ilvl w:val="0"/>
          <w:numId w:val="2"/>
        </w:numPr>
        <w:pBdr/>
        <w:spacing w:after="60" w:line="276" w:lineRule="auto"/>
        <w:ind/>
        <w:rPr/>
      </w:pPr>
      <w:r>
        <w:rPr>
          <w:b/>
          <w:bCs/>
        </w:rPr>
        <w:t xml:space="preserve">Actualizaciones sin gestionar: </w:t>
      </w:r>
      <w:r>
        <w:t xml:space="preserve">no existe un proceso definido de aplicación de actualizaciones del sistema operativo y del software.</w:t>
      </w:r>
      <w:r/>
    </w:p>
    <w:p>
      <w:pPr>
        <w:pStyle w:val="808"/>
        <w:pBdr/>
        <w:spacing/>
        <w:ind/>
        <w:rPr/>
      </w:pPr>
      <w:r/>
      <w:bookmarkStart w:id="16" w:name="_Toc16"/>
      <w:r>
        <w:t xml:space="preserve">6. Propuestas de mejora</w:t>
      </w:r>
      <w:r/>
      <w:bookmarkEnd w:id="16"/>
      <w:r/>
      <w:r/>
    </w:p>
    <w:p>
      <w:pPr>
        <w:pBdr/>
        <w:spacing w:after="120" w:line="276" w:lineRule="auto"/>
        <w:ind/>
        <w:rPr/>
      </w:pPr>
      <w:r>
        <w:t xml:space="preserve">Las siguientes</w:t>
      </w:r>
      <w:r>
        <w:t xml:space="preserve"> propuestas se plantean en un modelo agnóstico (válido para cualquier proveedor) y pueden implementarse de forma incremental, priorizando las de mayor impacto en la continuidad del negocio. El diagrama de la página apaisada resume la arquitectura objetivo.</w:t>
      </w:r>
      <w:r/>
    </w:p>
    <w:p>
      <w:pPr>
        <w:pBdr/>
        <w:spacing/>
        <w:ind/>
        <w:rPr/>
        <w:sectPr>
          <w:footerReference w:type="default" r:id="rId12"/>
          <w:footnotePr/>
          <w:endnotePr/>
          <w:type w:val="nextPage"/>
          <w:pgSz w:h="15840" w:orient="portrait" w:w="12240"/>
          <w:pgMar w:top="1440" w:right="1440" w:bottom="1440" w:left="1440" w:header="708" w:footer="708" w:gutter="0"/>
          <w:cols w:num="1" w:sep="0" w:space="1701" w:equalWidth="1"/>
        </w:sectPr>
      </w:pPr>
      <w:r/>
      <w:r/>
    </w:p>
    <w:p>
      <w:pPr>
        <w:pBdr/>
        <w:spacing w:after="100" w:before="60"/>
        <w:ind/>
        <w:jc w:val="center"/>
        <w:rPr/>
      </w:pPr>
      <w:r>
        <w:rPr>
          <w:b/>
          <w:bCs/>
          <w:color w:val="2e75b6"/>
          <w:sz w:val="22"/>
          <w:szCs w:val="22"/>
        </w:rPr>
        <w:t xml:space="preserve">Figura 2. Arquitectura propuesta (modelo agnóstico).</w:t>
      </w:r>
      <w:r/>
    </w:p>
    <w:p>
      <w:pPr>
        <w:pBdr/>
        <w:spacing w:after="120" w:before="120"/>
        <w:ind/>
        <w:jc w:val="center"/>
        <w:rPr/>
      </w:pPr>
      <w:r>
        <mc:AlternateContent>
          <mc:Choice Requires="wpg">
            <w:drawing>
              <wp:inline xmlns:wp="http://schemas.openxmlformats.org/drawingml/2006/wordprocessingDrawing" distT="0" distB="0" distL="0" distR="0">
                <wp:extent cx="8763000" cy="5629275"/>
                <wp:effectExtent l="0" t="0" r="0" b="0"/>
                <wp:docPr id="2" name="Diagrama de la arquitectura propuesta" descr="Diagrama de la arquitectura propuesta" title="Diagrama de la arquitectura pro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8763000" cy="5629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690.00pt;height:443.25pt;mso-wrap-distance-left:0.00pt;mso-wrap-distance-top:0.00pt;mso-wrap-distance-right:0.00pt;mso-wrap-distance-bottom:0.00pt;z-index:1;" stroked="false">
                <v:imagedata r:id="rId17" o:title=""/>
                <o:lock v:ext="edit" rotation="t"/>
              </v:shape>
            </w:pict>
          </mc:Fallback>
        </mc:AlternateContent>
      </w:r>
      <w:r/>
    </w:p>
    <w:p>
      <w:pPr>
        <w:pBdr/>
        <w:spacing/>
        <w:ind/>
        <w:rPr/>
        <w:sectPr>
          <w:footerReference w:type="default" r:id="rId13"/>
          <w:footnotePr/>
          <w:endnotePr/>
          <w:type w:val="nextPage"/>
          <w:pgSz w:h="12240" w:orient="landscape" w:w="15840"/>
          <w:pgMar w:top="1080" w:right="1080" w:bottom="1080" w:left="1080" w:header="708" w:footer="708" w:gutter="0"/>
          <w:cols w:num="1" w:sep="0" w:space="1701" w:equalWidth="1"/>
        </w:sectPr>
      </w:pPr>
      <w:r/>
      <w:r/>
    </w:p>
    <w:p>
      <w:pPr>
        <w:pStyle w:val="809"/>
        <w:pBdr/>
        <w:spacing/>
        <w:ind/>
        <w:rPr/>
      </w:pPr>
      <w:r/>
      <w:bookmarkStart w:id="17" w:name="_Toc17"/>
      <w:r>
        <w:t xml:space="preserve">6.1. Particionado del servidor de datos</w:t>
      </w:r>
      <w:r/>
      <w:bookmarkEnd w:id="17"/>
      <w:r/>
      <w:r/>
    </w:p>
    <w:p>
      <w:pPr>
        <w:pBdr/>
        <w:spacing w:after="120" w:line="276" w:lineRule="auto"/>
        <w:ind/>
        <w:rPr/>
      </w:pPr>
      <w:r>
        <w:t xml:space="preserve">Se propone dividir el servidor SQL monolítico en servidores independientes según su función, eliminando el cuello de botella y reduciendo dependencias:</w:t>
      </w:r>
      <w:r/>
    </w:p>
    <w:p>
      <w:pPr>
        <w:pStyle w:val="800"/>
        <w:numPr>
          <w:ilvl w:val="0"/>
          <w:numId w:val="2"/>
        </w:numPr>
        <w:pBdr/>
        <w:spacing w:after="60" w:line="276" w:lineRule="auto"/>
        <w:ind/>
        <w:rPr/>
      </w:pPr>
      <w:r>
        <w:rPr>
          <w:b/>
          <w:bCs/>
        </w:rPr>
        <w:t xml:space="preserve">SQL Negocio: </w:t>
      </w:r>
      <w:r>
        <w:t xml:space="preserve">bases de datos necesarias para «vender». Dimensionado elástico.</w:t>
      </w:r>
      <w:r/>
    </w:p>
    <w:p>
      <w:pPr>
        <w:pStyle w:val="800"/>
        <w:numPr>
          <w:ilvl w:val="0"/>
          <w:numId w:val="2"/>
        </w:numPr>
        <w:pBdr/>
        <w:spacing w:after="60" w:line="276" w:lineRule="auto"/>
        <w:ind/>
        <w:rPr/>
      </w:pPr>
      <w:r>
        <w:rPr>
          <w:b/>
          <w:bCs/>
        </w:rPr>
        <w:t xml:space="preserve">SQL Servicio: </w:t>
      </w:r>
      <w:r>
        <w:t xml:space="preserve">resto de bases de información y módulos add-in. Escalable.</w:t>
      </w:r>
      <w:r/>
    </w:p>
    <w:p>
      <w:pPr>
        <w:pStyle w:val="800"/>
        <w:numPr>
          <w:ilvl w:val="0"/>
          <w:numId w:val="2"/>
        </w:numPr>
        <w:pBdr/>
        <w:spacing w:after="60" w:line="276" w:lineRule="auto"/>
        <w:ind/>
        <w:rPr/>
      </w:pPr>
      <w:r>
        <w:rPr>
          <w:b/>
          <w:bCs/>
        </w:rPr>
        <w:t xml:space="preserve">SQL Espejo: </w:t>
      </w:r>
      <w:r>
        <w:t xml:space="preserve">bases de consulta de solo lectura (reporting). Escalable.</w:t>
      </w:r>
      <w:r/>
    </w:p>
    <w:p>
      <w:pPr>
        <w:pBdr/>
        <w:spacing w:after="120" w:line="276" w:lineRule="auto"/>
        <w:ind/>
        <w:rPr/>
      </w:pPr>
      <w:r>
        <w:rPr>
          <w:i/>
          <w:iCs/>
        </w:rPr>
        <w:t xml:space="preserve">Nota: el alcance exacto de la partición (número de servidores y reparto de bases) se cerrará conjuntamente con el equipo técnico antes de la implementación.</w:t>
      </w:r>
      <w:r/>
    </w:p>
    <w:p>
      <w:pPr>
        <w:pStyle w:val="809"/>
        <w:pBdr/>
        <w:spacing/>
        <w:ind/>
        <w:rPr/>
      </w:pPr>
      <w:r/>
      <w:bookmarkStart w:id="18" w:name="_Toc18"/>
      <w:r>
        <w:t xml:space="preserve">6.2. Load Balancer</w:t>
      </w:r>
      <w:r/>
      <w:bookmarkEnd w:id="18"/>
      <w:r/>
      <w:r/>
    </w:p>
    <w:p>
      <w:pPr>
        <w:pBdr/>
        <w:spacing w:after="120" w:line="276" w:lineRule="auto"/>
        <w:ind/>
        <w:rPr/>
      </w:pPr>
      <w:r>
        <w:t xml:space="preserve">La introducción de un balanceador de carga delante de las capas WEB y WS es una de las piezas vitales del proyecto. Permite:</w:t>
      </w:r>
      <w:r/>
    </w:p>
    <w:p>
      <w:pPr>
        <w:pStyle w:val="800"/>
        <w:numPr>
          <w:ilvl w:val="0"/>
          <w:numId w:val="2"/>
        </w:numPr>
        <w:pBdr/>
        <w:spacing w:after="60" w:line="276" w:lineRule="auto"/>
        <w:ind/>
        <w:rPr/>
      </w:pPr>
      <w:r>
        <w:t xml:space="preserve">Distribuir el tráfico entre dos o más instancias, eliminando el punto único de fallo en la capa de presentación.</w:t>
      </w:r>
      <w:r/>
    </w:p>
    <w:p>
      <w:pPr>
        <w:pStyle w:val="800"/>
        <w:numPr>
          <w:ilvl w:val="0"/>
          <w:numId w:val="2"/>
        </w:numPr>
        <w:pBdr/>
        <w:spacing w:after="60" w:line="276" w:lineRule="auto"/>
        <w:ind/>
        <w:rPr/>
      </w:pPr>
      <w:r>
        <w:t xml:space="preserve">Aplicar health checks: si una instancia falla, deja de recibir tráfico en segundos, sin intervención manual.</w:t>
      </w:r>
      <w:r/>
    </w:p>
    <w:p>
      <w:pPr>
        <w:pStyle w:val="800"/>
        <w:numPr>
          <w:ilvl w:val="0"/>
          <w:numId w:val="2"/>
        </w:numPr>
        <w:pBdr/>
        <w:spacing w:after="60" w:line="276" w:lineRule="auto"/>
        <w:ind/>
        <w:rPr/>
      </w:pPr>
      <w:r>
        <w:t xml:space="preserve">Realizar actualizaciones sin downtime mediante despliegues escalonados (rolling).</w:t>
      </w:r>
      <w:r/>
    </w:p>
    <w:p>
      <w:pPr>
        <w:pStyle w:val="800"/>
        <w:numPr>
          <w:ilvl w:val="0"/>
          <w:numId w:val="2"/>
        </w:numPr>
        <w:pBdr/>
        <w:spacing w:after="60" w:line="276" w:lineRule="auto"/>
        <w:ind/>
        <w:rPr/>
      </w:pPr>
      <w:r>
        <w:t xml:space="preserve">Absorber picos estacionales sin sobredimensionar de forma permanente.</w:t>
      </w:r>
      <w:r/>
    </w:p>
    <w:p>
      <w:pPr>
        <w:pStyle w:val="800"/>
        <w:numPr>
          <w:ilvl w:val="0"/>
          <w:numId w:val="2"/>
        </w:numPr>
        <w:pBdr/>
        <w:spacing w:after="60" w:line="276" w:lineRule="auto"/>
        <w:ind/>
        <w:rPr/>
      </w:pPr>
      <w:r>
        <w:t xml:space="preserve">Centralizar la terminación TLS y las cabeceras de seguridad en un único punto.</w:t>
      </w:r>
      <w:r/>
    </w:p>
    <w:p>
      <w:pPr>
        <w:pStyle w:val="809"/>
        <w:pBdr/>
        <w:spacing/>
        <w:ind/>
        <w:rPr/>
      </w:pPr>
      <w:r/>
      <w:bookmarkStart w:id="19" w:name="_Toc19"/>
      <w:r>
        <w:t xml:space="preserve">6.3. WAF (firewall de aplicación)</w:t>
      </w:r>
      <w:r/>
      <w:bookmarkEnd w:id="19"/>
      <w:r/>
      <w:r/>
    </w:p>
    <w:p>
      <w:pPr>
        <w:pBdr/>
        <w:spacing w:after="120" w:line="276" w:lineRule="auto"/>
        <w:ind/>
        <w:rPr/>
      </w:pPr>
      <w:r>
        <w:t xml:space="preserve">La incorporación de un WAF es imprescindible para dotar al ecosistema de inspección en la capa de aplicación. Se valoran tres opciones, con sus ventajas e inconvenientes: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3680"/>
        <w:gridCol w:w="348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rPr/>
            </w:pPr>
            <w:r>
              <w:rPr>
                <w:b/>
                <w:bCs/>
                <w:color w:val="ffffff"/>
                <w:sz w:val="20"/>
                <w:szCs w:val="20"/>
              </w:rPr>
              <w:t xml:space="preserve">Opción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vAlign w:val="center"/>
          </w:tcPr>
          <w:p>
            <w:pPr>
              <w:pBdr/>
              <w:spacing/>
              <w:ind/>
              <w:rPr/>
            </w:pPr>
            <w:r>
              <w:rPr>
                <w:b/>
                <w:bCs/>
                <w:color w:val="ffffff"/>
                <w:sz w:val="20"/>
                <w:szCs w:val="20"/>
              </w:rPr>
              <w:t xml:space="preserve">Ventajas</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80" w:type="dxa"/>
            <w:vAlign w:val="center"/>
          </w:tcPr>
          <w:p>
            <w:pPr>
              <w:pBdr/>
              <w:spacing/>
              <w:ind/>
              <w:rPr/>
            </w:pPr>
            <w:r>
              <w:rPr>
                <w:b/>
                <w:bCs/>
                <w:color w:val="ffffff"/>
                <w:sz w:val="20"/>
                <w:szCs w:val="20"/>
              </w:rPr>
              <w:t xml:space="preserve">Inconvenientes</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rPr/>
            </w:pPr>
            <w:r>
              <w:rPr>
                <w:b/>
                <w:bCs/>
                <w:sz w:val="20"/>
                <w:szCs w:val="20"/>
              </w:rPr>
              <w:t xml:space="preserve">WAF cloud nativo</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vAlign w:val="center"/>
          </w:tcPr>
          <w:p>
            <w:pPr>
              <w:pBdr/>
              <w:spacing/>
              <w:ind/>
              <w:rPr/>
            </w:pPr>
            <w:r>
              <w:rPr>
                <w:sz w:val="20"/>
                <w:szCs w:val="20"/>
              </w:rPr>
              <w:t xml:space="preserve">Gestionado y escalable; reglas OWASP mantenidas por el proveedor; integrado con el resto del cloud; encaja con ENS-Media.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80" w:type="dxa"/>
            <w:vAlign w:val="center"/>
          </w:tcPr>
          <w:p>
            <w:pPr>
              <w:pBdr/>
              <w:spacing/>
              <w:ind/>
              <w:rPr/>
            </w:pPr>
            <w:r>
              <w:rPr>
                <w:sz w:val="20"/>
                <w:szCs w:val="20"/>
              </w:rPr>
              <w:t xml:space="preserve">Coste recurrente; menor control fino de reglas propias; dependencia del proveedor.</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rPr/>
            </w:pPr>
            <w:r>
              <w:rPr>
                <w:b/>
                <w:bCs/>
                <w:sz w:val="20"/>
                <w:szCs w:val="20"/>
              </w:rPr>
              <w:t xml:space="preserve">BunkerWeb (autohospedado)</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vAlign w:val="center"/>
          </w:tcPr>
          <w:p>
            <w:pPr>
              <w:pBdr/>
              <w:spacing/>
              <w:ind/>
              <w:rPr/>
            </w:pPr>
            <w:r>
              <w:rPr>
                <w:sz w:val="20"/>
                <w:szCs w:val="20"/>
              </w:rPr>
              <w:t xml:space="preserve">Control total y sin coste de licencia; ya existe experiencia interna; dinámico (responde a intentos de ataque).</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80" w:type="dxa"/>
            <w:vAlign w:val="center"/>
          </w:tcPr>
          <w:p>
            <w:pPr>
              <w:pBdr/>
              <w:spacing/>
              <w:ind/>
              <w:rPr/>
            </w:pPr>
            <w:r>
              <w:rPr>
                <w:sz w:val="20"/>
                <w:szCs w:val="20"/>
              </w:rPr>
              <w:t xml:space="preserve">Es otra máquina a mantener y parchear; si no se redunda, vuelve a ser un punto único de fallo; la operación recae internamente.</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rPr/>
            </w:pPr>
            <w:r>
              <w:rPr>
                <w:b/>
                <w:bCs/>
                <w:sz w:val="20"/>
                <w:szCs w:val="20"/>
              </w:rPr>
              <w:t xml:space="preserve">Cloudflare (CDN/DNS + WAF)</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vAlign w:val="center"/>
          </w:tcPr>
          <w:p>
            <w:pPr>
              <w:pBdr/>
              <w:spacing/>
              <w:ind/>
              <w:rPr/>
            </w:pPr>
            <w:r>
              <w:rPr>
                <w:sz w:val="20"/>
                <w:szCs w:val="20"/>
              </w:rPr>
              <w:t xml:space="preserve">Mitiga DDoS en el borde antes de llegar al origen; CDN acelera la entrega; sencillo de poner en marcha; aprovecha el control existente del DNS.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80" w:type="dxa"/>
            <w:vAlign w:val="center"/>
          </w:tcPr>
          <w:p>
            <w:pPr>
              <w:pBdr/>
              <w:spacing/>
              <w:ind/>
              <w:rPr/>
            </w:pPr>
            <w:r>
              <w:rPr>
                <w:sz w:val="20"/>
                <w:szCs w:val="20"/>
              </w:rPr>
              <w:t xml:space="preserve">El tráfico pasa por un tercero; menor control de la capa 7; coste en planes de pago.</w:t>
            </w:r>
            <w:r/>
          </w:p>
        </w:tc>
      </w:tr>
    </w:tbl>
    <w:p>
      <w:pPr>
        <w:pBdr/>
        <w:spacing w:after="120"/>
        <w:ind/>
        <w:rPr/>
      </w:pPr>
      <w:r/>
      <w:r/>
    </w:p>
    <w:p>
      <w:pPr>
        <w:pBdr/>
        <w:spacing w:after="120" w:line="276" w:lineRule="auto"/>
        <w:ind/>
        <w:rPr/>
      </w:pPr>
      <w:r>
        <w:t xml:space="preserve">Recomendación: para minimizar la carga operativa y facilitar el encaje con ENS-Media, se propone el WAF nativo del cloud como opción principal, manteniendo BunkerWeb como alternativa soberana y económica. La decisión final corresponde al cliente.</w:t>
      </w:r>
      <w:r/>
    </w:p>
    <w:p>
      <w:pPr>
        <w:pStyle w:val="809"/>
        <w:pBdr/>
        <w:spacing/>
        <w:ind/>
        <w:rPr/>
      </w:pPr>
      <w:r/>
      <w:bookmarkStart w:id="20" w:name="_Toc20"/>
      <w:r>
        <w:t xml:space="preserve">6.4. Arquitectura estándar de servidor</w:t>
      </w:r>
      <w:r/>
      <w:bookmarkEnd w:id="20"/>
      <w:r/>
      <w:r/>
    </w:p>
    <w:p>
      <w:pPr>
        <w:pBdr/>
        <w:spacing w:after="120" w:line="276" w:lineRule="auto"/>
        <w:ind/>
        <w:rPr/>
      </w:pPr>
      <w:r>
        <w:t xml:space="preserve">Se propone un patrón homogéneo para cada servidor, sobre máquina virtual con Windows Server 2022 Standard:</w:t>
      </w:r>
      <w:r/>
    </w:p>
    <w:p>
      <w:pPr>
        <w:pStyle w:val="800"/>
        <w:numPr>
          <w:ilvl w:val="0"/>
          <w:numId w:val="2"/>
        </w:numPr>
        <w:pBdr/>
        <w:spacing w:after="60" w:line="276" w:lineRule="auto"/>
        <w:ind/>
        <w:rPr/>
      </w:pPr>
      <w:r>
        <w:t xml:space="preserve">Disco principal dedicado al sistema operativo y los servicios.</w:t>
      </w:r>
      <w:r/>
    </w:p>
    <w:p>
      <w:pPr>
        <w:pStyle w:val="800"/>
        <w:numPr>
          <w:ilvl w:val="0"/>
          <w:numId w:val="2"/>
        </w:numPr>
        <w:pBdr/>
        <w:spacing w:after="60" w:line="276" w:lineRule="auto"/>
        <w:ind/>
        <w:rPr/>
      </w:pPr>
      <w:r>
        <w:t xml:space="preserve">Volumen «Data» (attached) para servidor web, datos, logs y tareas, incluyendo en su caso SQL Server. Requiere una tarea programada para la correcta rotación de logs.</w:t>
      </w:r>
      <w:r/>
    </w:p>
    <w:p>
      <w:pPr>
        <w:pStyle w:val="800"/>
        <w:numPr>
          <w:ilvl w:val="0"/>
          <w:numId w:val="2"/>
        </w:numPr>
        <w:pBdr/>
        <w:spacing w:after="60" w:line="276" w:lineRule="auto"/>
        <w:ind/>
        <w:rPr/>
      </w:pPr>
      <w:r>
        <w:t xml:space="preserve">Volumen «Mirror» (attached) como espejo del volumen «Data».</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8e1"/>
            <w:tcBorders>
              <w:top w:val="single" w:color="b7950b" w:sz="4" w:space="0"/>
              <w:left w:val="single" w:color="b7950b" w:sz="18" w:space="0"/>
              <w:bottom w:val="single" w:color="b7950b" w:sz="4" w:space="0"/>
              <w:right w:val="single" w:color="b7950b" w:sz="4" w:space="0"/>
            </w:tcBorders>
            <w:tcMar>
              <w:left w:w="200" w:type="dxa"/>
              <w:top w:w="140" w:type="dxa"/>
              <w:right w:w="160" w:type="dxa"/>
              <w:bottom w:w="140" w:type="dxa"/>
            </w:tcMar>
            <w:tcW w:w="9360" w:type="dxa"/>
          </w:tcPr>
          <w:p>
            <w:pPr>
              <w:pBdr/>
              <w:spacing w:after="60"/>
              <w:ind/>
              <w:rPr/>
            </w:pPr>
            <w:r>
              <w:rPr>
                <w:b/>
                <w:bCs/>
                <w:color w:val="b7950b"/>
                <w:sz w:val="22"/>
                <w:szCs w:val="22"/>
              </w:rPr>
              <w:t xml:space="preserve">Matización importante sobre el volumen espejo</w:t>
            </w:r>
            <w:r/>
          </w:p>
          <w:p>
            <w:pPr>
              <w:pBdr/>
              <w:spacing w:after="40"/>
              <w:ind/>
              <w:rPr/>
            </w:pPr>
            <w:r>
              <w:rPr>
                <w:sz w:val="20"/>
                <w:szCs w:val="20"/>
              </w:rPr>
              <w:t xml:space="preserve">El volumen «Mirror» aporta redundancia de disponibilidad (protege frente a un fallo d</w:t>
            </w:r>
            <w:r>
              <w:rPr>
                <w:sz w:val="20"/>
                <w:szCs w:val="20"/>
              </w:rPr>
              <w:t xml:space="preserve">e disco), pero no constituye una copia de seguridad: un borrado lógico, una corrupción o un ataque se replicarían de inmediato al espejo. Debe entenderse como complemento, nunca como sustituto, de la cadena de copias de seguridad descrita en el apartado 5.</w:t>
            </w:r>
            <w:r/>
          </w:p>
        </w:tc>
      </w:tr>
    </w:tbl>
    <w:p>
      <w:pPr>
        <w:pStyle w:val="809"/>
        <w:pBdr/>
        <w:spacing/>
        <w:ind/>
        <w:rPr/>
      </w:pPr>
      <w:r/>
      <w:bookmarkStart w:id="21" w:name="_Toc21"/>
      <w:r>
        <w:t xml:space="preserve">6.5. Copias de seguridad</w:t>
      </w:r>
      <w:r/>
      <w:bookmarkEnd w:id="21"/>
      <w:r/>
      <w:r/>
    </w:p>
    <w:p>
      <w:pPr>
        <w:pStyle w:val="810"/>
        <w:pBdr/>
        <w:spacing/>
        <w:ind/>
        <w:rPr/>
      </w:pPr>
      <w:r>
        <w:t xml:space="preserve">Bases de datos SQL</w:t>
      </w:r>
      <w:r/>
    </w:p>
    <w:p>
      <w:pPr>
        <w:pBdr/>
        <w:spacing w:after="120" w:line="276" w:lineRule="auto"/>
        <w:ind/>
        <w:rPr/>
      </w:pPr>
      <w:r>
        <w:t xml:space="preserve">La política propuesta sigue el principio 3-2-1 (varias copias, en distintos medios, con una fuera de las instalaciones):</w:t>
      </w:r>
      <w:r/>
    </w:p>
    <w:p>
      <w:pPr>
        <w:pStyle w:val="800"/>
        <w:numPr>
          <w:ilvl w:val="0"/>
          <w:numId w:val="2"/>
        </w:numPr>
        <w:pBdr/>
        <w:spacing w:after="60" w:line="276" w:lineRule="auto"/>
        <w:ind/>
        <w:rPr/>
      </w:pPr>
      <w:r>
        <w:t xml:space="preserve">Una copia local en el volumen del servidor.</w:t>
      </w:r>
      <w:r/>
    </w:p>
    <w:p>
      <w:pPr>
        <w:pStyle w:val="800"/>
        <w:numPr>
          <w:ilvl w:val="0"/>
          <w:numId w:val="2"/>
        </w:numPr>
        <w:pBdr/>
        <w:spacing w:after="60" w:line="276" w:lineRule="auto"/>
        <w:ind/>
        <w:rPr/>
      </w:pPr>
      <w:r>
        <w:t xml:space="preserve">Una copia en un Storage Box dedicado a Aramón.</w:t>
      </w:r>
      <w:r/>
    </w:p>
    <w:p>
      <w:pPr>
        <w:pStyle w:val="800"/>
        <w:numPr>
          <w:ilvl w:val="0"/>
          <w:numId w:val="2"/>
        </w:numPr>
        <w:pBdr/>
        <w:spacing w:after="60" w:line="276" w:lineRule="auto"/>
        <w:ind/>
        <w:rPr/>
      </w:pPr>
      <w:r>
        <w:t xml:space="preserve">Una copia diaria adicional en una máquina externa.</w:t>
      </w:r>
      <w:r/>
    </w:p>
    <w:p>
      <w:pPr>
        <w:pBdr/>
        <w:spacing w:after="120" w:line="276" w:lineRule="auto"/>
        <w:ind/>
        <w:rPr/>
      </w:pPr>
      <w:r>
        <w:t xml:space="preserve">Las políticas de rotación y retención se acordarán con Aramón, teniendo en cuenta la obligación de conservar un mínimo de cinco años los datos fiscales (AEAT – SII).</w:t>
      </w:r>
      <w:r/>
    </w:p>
    <w:p>
      <w:pPr>
        <w:pStyle w:val="810"/>
        <w:pBdr/>
        <w:spacing/>
        <w:ind/>
        <w:rPr/>
      </w:pPr>
      <w:r>
        <w:t xml:space="preserve">Configuración de IIS</w:t>
      </w:r>
      <w:r/>
    </w:p>
    <w:p>
      <w:pPr>
        <w:pBdr/>
        <w:spacing w:after="120" w:line="276" w:lineRule="auto"/>
        <w:ind/>
        <w:rPr/>
      </w:pPr>
      <w:r>
        <w:t xml:space="preserve">Actualmente las copias del servidor se gestionan únicamente a través del proveedor (Acronis, operado desde su panel de control). Co</w:t>
      </w:r>
      <w:r>
        <w:t xml:space="preserve">mo mejora, se propone replicar el modelo del SQL para no depender de un único proveedor: sumar una copia local y otra en el Storage Box propio, exportando la configuración de IIS de forma consistente y versionable mediante sus herramientas nativas. El prot</w:t>
      </w:r>
      <w:r>
        <w:t xml:space="preserve">ocolo de recuperación validada (restaurar en un servidor nuevo, comprobar su correcto funcionamiento y promoverlo a principal) es una buena práctica; se recomienda documentarlo como runbook con objetivos de tiempo de recuperación y probarlo periódicamente.</w:t>
      </w:r>
      <w:r/>
    </w:p>
    <w:p>
      <w:pPr>
        <w:pStyle w:val="809"/>
        <w:pBdr/>
        <w:spacing/>
        <w:ind/>
        <w:rPr/>
      </w:pPr>
      <w:r/>
      <w:bookmarkStart w:id="22" w:name="_Toc22"/>
      <w:r>
        <w:t xml:space="preserve">6.6. Acceso seguro sin contraseña</w:t>
      </w:r>
      <w:r/>
      <w:bookmarkEnd w:id="22"/>
      <w:r/>
      <w:r/>
    </w:p>
    <w:p>
      <w:pPr>
        <w:pBdr/>
        <w:spacing w:after="120" w:line="276" w:lineRule="auto"/>
        <w:ind/>
        <w:rPr/>
      </w:pPr>
      <w:r>
        <w:t xml:space="preserve">Se propone incorporar un sistema d</w:t>
      </w:r>
      <w:r>
        <w:t xml:space="preserve">e identificación reforzado para el acceso a los servidores, basado en autenticación multifactor (MFA) y métodos sin contraseña (biometría, FIDO2 u OTP). Este modelo eleva el nivel de seguridad del acceso y encaja plenamente con los requisitos de ENS-Media.</w:t>
      </w:r>
      <w:r/>
    </w:p>
    <w:p>
      <w:pPr>
        <w:pStyle w:val="809"/>
        <w:pBdr/>
        <w:spacing/>
        <w:ind/>
        <w:rPr/>
      </w:pPr>
      <w:r/>
      <w:bookmarkStart w:id="23" w:name="_Toc23"/>
      <w:r>
        <w:t xml:space="preserve">6.7. Edición de base de datos: Standard</w:t>
      </w:r>
      <w:r/>
      <w:bookmarkEnd w:id="23"/>
      <w:r/>
      <w:r/>
    </w:p>
    <w:p>
      <w:pPr>
        <w:pBdr/>
        <w:spacing w:after="120" w:line="276" w:lineRule="auto"/>
        <w:ind/>
        <w:rPr/>
      </w:pPr>
      <w:r>
        <w:t xml:space="preserve">Se propone SQL Server Standard en lugar de Enterprise. La instancia actual no está en clúster </w:t>
      </w:r>
      <w:r>
        <w:t xml:space="preserve">ni emplea Always On (HADR), que son las funciones que justifican la edición Enterprise. Para las necesidades de Aramón, la edición Standard cubre con holgura el grueso de funcionalidades (hasta 128 GB de RAM por instancia, particionamiento, copias de segur</w:t>
      </w:r>
      <w:r>
        <w:t xml:space="preserve">idad y replicación básica), mientras que la alta disponibilidad se resuelve de forma más eficiente a nivel de arquitectura (particionado en varios servidores y balanceo). El resultado es un ahorro significativo en licenciamiento sin pérdida funcional real.</w:t>
      </w:r>
      <w:r/>
    </w:p>
    <w:p>
      <w:pPr>
        <w:pStyle w:val="809"/>
        <w:pBdr/>
        <w:spacing/>
        <w:ind/>
        <w:rPr/>
      </w:pPr>
      <w:r/>
      <w:bookmarkStart w:id="24" w:name="_Toc24"/>
      <w:r>
        <w:t xml:space="preserve">6.8. Gestión de actualizaciones</w:t>
      </w:r>
      <w:r/>
      <w:bookmarkEnd w:id="24"/>
      <w:r/>
      <w:r/>
    </w:p>
    <w:p>
      <w:pPr>
        <w:pBdr/>
        <w:spacing w:after="120" w:line="276" w:lineRule="auto"/>
        <w:ind/>
        <w:rPr/>
      </w:pPr>
      <w:r>
        <w:t xml:space="preserve">Se propone establecer un proceso centralizado de aplicación de actualizaciones con</w:t>
      </w:r>
      <w:r>
        <w:t xml:space="preserve"> ventanas de mantenimiento definidas y anillos de despliegue: primero un servidor de pruebas o no crítico y, tras la validación, el resto de producción. Apoyado en el Load Balancer, el parcheo puede realizarse sin downtime mediante despliegues escalonados.</w:t>
      </w:r>
      <w:r/>
    </w:p>
    <w:p>
      <w:pPr>
        <w:pStyle w:val="809"/>
        <w:pBdr/>
        <w:spacing/>
        <w:ind/>
        <w:rPr/>
      </w:pPr>
      <w:r/>
      <w:bookmarkStart w:id="25" w:name="_Toc25"/>
      <w:r>
        <w:t xml:space="preserve">6.9. Monitorización gestionada</w:t>
      </w:r>
      <w:r/>
      <w:bookmarkEnd w:id="25"/>
      <w:r/>
      <w:r/>
    </w:p>
    <w:p>
      <w:pPr>
        <w:pBdr/>
        <w:spacing w:after="120" w:line="276" w:lineRule="auto"/>
        <w:ind/>
        <w:rPr/>
      </w:pPr>
      <w:r>
        <w:t xml:space="preserve">Sobre la base de Grafana ya existente, se propone ofrecer un servicio de monitorización gestionado y adaptado a las necesidades del equipo de IT de Aramón, con acceso a monitorización activa y en</w:t>
      </w:r>
      <w:r>
        <w:t xml:space="preserve">vío al correo electrónico de las alertas que se consideren vitales. Esto convierte la observabilidad, hoy reactiva, en proactiva: paneles de disponibilidad por servicio, tasa de errores por endpoint y detección temprana de incidencias en procesos críticos.</w:t>
      </w:r>
      <w:r/>
    </w:p>
    <w:p>
      <w:pPr>
        <w:pStyle w:val="809"/>
        <w:pBdr/>
        <w:spacing/>
        <w:ind/>
        <w:rPr/>
      </w:pPr>
      <w:r/>
      <w:bookmarkStart w:id="26" w:name="_Toc26"/>
      <w:r>
        <w:t xml:space="preserve">6.10. Pruebas de penetración periódicas</w:t>
      </w:r>
      <w:r/>
      <w:bookmarkEnd w:id="26"/>
      <w:r/>
      <w:r/>
    </w:p>
    <w:p>
      <w:pPr>
        <w:pBdr/>
        <w:spacing w:after="120" w:line="276" w:lineRule="auto"/>
        <w:ind/>
        <w:rPr/>
      </w:pPr>
      <w:r>
        <w:t xml:space="preserve">Se recomienda establecer un programa de pen </w:t>
      </w:r>
      <w:r>
        <w:t xml:space="preserve">testing con pruebas externas anuales por un tercero certificado, revisión periódica de las reglas del WAF, verificación de la segmentación interna (que el SQL no sea accesible desde Internet) y un proceso de remediación con criticidades y plazos definidos.</w:t>
      </w:r>
      <w:r/>
    </w:p>
    <w:p>
      <w:pPr>
        <w:pStyle w:val="808"/>
        <w:pBdr/>
        <w:spacing/>
        <w:ind/>
        <w:rPr/>
      </w:pPr>
      <w:r/>
      <w:bookmarkStart w:id="27" w:name="_Toc27"/>
      <w:r>
        <w:t xml:space="preserve">7. Resumen de impacto y priorización</w:t>
      </w:r>
      <w:r/>
      <w:bookmarkEnd w:id="27"/>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2880"/>
        <w:gridCol w:w="1440"/>
        <w:gridCol w:w="184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b/>
                <w:bCs/>
                <w:color w:val="ffffff"/>
                <w:sz w:val="20"/>
                <w:szCs w:val="20"/>
              </w:rPr>
              <w:t xml:space="preserve">Recomendación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vAlign w:val="center"/>
          </w:tcPr>
          <w:p>
            <w:pPr>
              <w:pBdr/>
              <w:spacing/>
              <w:ind/>
              <w:rPr/>
            </w:pPr>
            <w:r>
              <w:rPr>
                <w:b/>
                <w:bCs/>
                <w:color w:val="ffffff"/>
                <w:sz w:val="20"/>
                <w:szCs w:val="20"/>
              </w:rPr>
              <w:t xml:space="preserve">Área</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vAlign w:val="center"/>
          </w:tcPr>
          <w:p>
            <w:pPr>
              <w:pBdr/>
              <w:spacing/>
              <w:ind/>
              <w:rPr/>
            </w:pPr>
            <w:r>
              <w:rPr>
                <w:b/>
                <w:bCs/>
                <w:color w:val="ffffff"/>
                <w:sz w:val="20"/>
                <w:szCs w:val="20"/>
              </w:rPr>
              <w:t xml:space="preserve">Prioridad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40" w:type="dxa"/>
            <w:vAlign w:val="center"/>
          </w:tcPr>
          <w:p>
            <w:pPr>
              <w:pBdr/>
              <w:spacing/>
              <w:ind/>
              <w:rPr/>
            </w:pPr>
            <w:r>
              <w:rPr>
                <w:b/>
                <w:bCs/>
                <w:color w:val="ffffff"/>
                <w:sz w:val="20"/>
                <w:szCs w:val="20"/>
              </w:rPr>
              <w:t xml:space="preserve">Beneficio</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sz w:val="20"/>
                <w:szCs w:val="20"/>
              </w:rPr>
              <w:t xml:space="preserve">Particionar servidor SQL</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vAlign w:val="center"/>
          </w:tcPr>
          <w:p>
            <w:pPr>
              <w:pBdr/>
              <w:spacing/>
              <w:ind/>
              <w:rPr/>
            </w:pPr>
            <w:r>
              <w:rPr>
                <w:sz w:val="20"/>
                <w:szCs w:val="20"/>
              </w:rPr>
              <w:t xml:space="preserve">Rendimiento / Continuidad</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vAlign w:val="center"/>
          </w:tcPr>
          <w:p>
            <w:pPr>
              <w:pBdr/>
              <w:spacing/>
              <w:ind/>
              <w:rPr/>
            </w:pPr>
            <w:r>
              <w:rPr>
                <w:b/>
                <w:bCs/>
                <w:color w:val="c0392b"/>
                <w:sz w:val="20"/>
                <w:szCs w:val="20"/>
              </w:rPr>
              <w:t xml:space="preserve">Muy alta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40" w:type="dxa"/>
            <w:vAlign w:val="center"/>
          </w:tcPr>
          <w:p>
            <w:pPr>
              <w:pBdr/>
              <w:spacing/>
              <w:ind/>
              <w:rPr/>
            </w:pPr>
            <w:r>
              <w:rPr>
                <w:sz w:val="20"/>
                <w:szCs w:val="20"/>
              </w:rPr>
              <w:t xml:space="preserve">Elimina el cuello de botella</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sz w:val="20"/>
                <w:szCs w:val="20"/>
              </w:rPr>
              <w:t xml:space="preserve">Load Balancer</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vAlign w:val="center"/>
          </w:tcPr>
          <w:p>
            <w:pPr>
              <w:pBdr/>
              <w:spacing/>
              <w:ind/>
              <w:rPr/>
            </w:pPr>
            <w:r>
              <w:rPr>
                <w:sz w:val="20"/>
                <w:szCs w:val="20"/>
              </w:rPr>
              <w:t xml:space="preserve">Rendimiento / Continuidad</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vAlign w:val="center"/>
          </w:tcPr>
          <w:p>
            <w:pPr>
              <w:pBdr/>
              <w:spacing/>
              <w:ind/>
              <w:rPr/>
            </w:pPr>
            <w:r>
              <w:rPr>
                <w:b/>
                <w:bCs/>
                <w:color w:val="b7950b"/>
                <w:sz w:val="20"/>
                <w:szCs w:val="20"/>
              </w:rPr>
              <w:t xml:space="preserve">Alta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40" w:type="dxa"/>
            <w:vAlign w:val="center"/>
          </w:tcPr>
          <w:p>
            <w:pPr>
              <w:pBdr/>
              <w:spacing/>
              <w:ind/>
              <w:rPr/>
            </w:pPr>
            <w:r>
              <w:rPr>
                <w:sz w:val="20"/>
                <w:szCs w:val="20"/>
              </w:rPr>
              <w:t xml:space="preserve">Elimina SPOF en web y WS</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sz w:val="20"/>
                <w:szCs w:val="20"/>
              </w:rPr>
              <w:t xml:space="preserve">WAF</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vAlign w:val="center"/>
          </w:tcPr>
          <w:p>
            <w:pPr>
              <w:pBdr/>
              <w:spacing/>
              <w:ind/>
              <w:rPr/>
            </w:pPr>
            <w:r>
              <w:rPr>
                <w:sz w:val="20"/>
                <w:szCs w:val="20"/>
              </w:rPr>
              <w:t xml:space="preserve">Seguridad</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vAlign w:val="center"/>
          </w:tcPr>
          <w:p>
            <w:pPr>
              <w:pBdr/>
              <w:spacing/>
              <w:ind/>
              <w:rPr/>
            </w:pPr>
            <w:r>
              <w:rPr>
                <w:b/>
                <w:bCs/>
                <w:color w:val="b7950b"/>
                <w:sz w:val="20"/>
                <w:szCs w:val="20"/>
              </w:rPr>
              <w:t xml:space="preserve">Alta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40" w:type="dxa"/>
            <w:vAlign w:val="center"/>
          </w:tcPr>
          <w:p>
            <w:pPr>
              <w:pBdr/>
              <w:spacing/>
              <w:ind/>
              <w:rPr/>
            </w:pPr>
            <w:r>
              <w:rPr>
                <w:sz w:val="20"/>
                <w:szCs w:val="20"/>
              </w:rPr>
              <w:t xml:space="preserve">Inspección de capa 7</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sz w:val="20"/>
                <w:szCs w:val="20"/>
              </w:rPr>
              <w:t xml:space="preserve">Bases de datos escalables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vAlign w:val="center"/>
          </w:tcPr>
          <w:p>
            <w:pPr>
              <w:pBdr/>
              <w:spacing/>
              <w:ind/>
              <w:rPr/>
            </w:pPr>
            <w:r>
              <w:rPr>
                <w:sz w:val="20"/>
                <w:szCs w:val="20"/>
              </w:rPr>
              <w:t xml:space="preserve">Continuidad / Rendimiento</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vAlign w:val="center"/>
          </w:tcPr>
          <w:p>
            <w:pPr>
              <w:pBdr/>
              <w:spacing/>
              <w:ind/>
              <w:rPr/>
            </w:pPr>
            <w:r>
              <w:rPr>
                <w:b/>
                <w:bCs/>
                <w:color w:val="b7950b"/>
                <w:sz w:val="20"/>
                <w:szCs w:val="20"/>
              </w:rPr>
              <w:t xml:space="preserve">Alta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40" w:type="dxa"/>
            <w:vAlign w:val="center"/>
          </w:tcPr>
          <w:p>
            <w:pPr>
              <w:pBdr/>
              <w:spacing/>
              <w:ind/>
              <w:rPr/>
            </w:pPr>
            <w:r>
              <w:rPr>
                <w:sz w:val="20"/>
                <w:szCs w:val="20"/>
              </w:rPr>
              <w:t xml:space="preserve">Protege el núcleo de datos</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sz w:val="20"/>
                <w:szCs w:val="20"/>
              </w:rPr>
              <w:t xml:space="preserve">MFA / acceso sin contraseña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vAlign w:val="center"/>
          </w:tcPr>
          <w:p>
            <w:pPr>
              <w:pBdr/>
              <w:spacing/>
              <w:ind/>
              <w:rPr/>
            </w:pPr>
            <w:r>
              <w:rPr>
                <w:sz w:val="20"/>
                <w:szCs w:val="20"/>
              </w:rPr>
              <w:t xml:space="preserve">Seguridad</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vAlign w:val="center"/>
          </w:tcPr>
          <w:p>
            <w:pPr>
              <w:pBdr/>
              <w:spacing/>
              <w:ind/>
              <w:rPr/>
            </w:pPr>
            <w:r>
              <w:rPr>
                <w:b/>
                <w:bCs/>
                <w:color w:val="1f8a4c"/>
                <w:sz w:val="20"/>
                <w:szCs w:val="20"/>
              </w:rPr>
              <w:t xml:space="preserve">Media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40" w:type="dxa"/>
            <w:vAlign w:val="center"/>
          </w:tcPr>
          <w:p>
            <w:pPr>
              <w:pBdr/>
              <w:spacing/>
              <w:ind/>
              <w:rPr/>
            </w:pPr>
            <w:r>
              <w:rPr>
                <w:sz w:val="20"/>
                <w:szCs w:val="20"/>
              </w:rPr>
              <w:t xml:space="preserve">Refuerza el control de acceso</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sz w:val="20"/>
                <w:szCs w:val="20"/>
              </w:rPr>
              <w:t xml:space="preserve">Gestión de actualizaciones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vAlign w:val="center"/>
          </w:tcPr>
          <w:p>
            <w:pPr>
              <w:pBdr/>
              <w:spacing/>
              <w:ind/>
              <w:rPr/>
            </w:pPr>
            <w:r>
              <w:rPr>
                <w:sz w:val="20"/>
                <w:szCs w:val="20"/>
              </w:rPr>
              <w:t xml:space="preserve">Seguridad / Continuidad</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vAlign w:val="center"/>
          </w:tcPr>
          <w:p>
            <w:pPr>
              <w:pBdr/>
              <w:spacing/>
              <w:ind/>
              <w:rPr/>
            </w:pPr>
            <w:r>
              <w:rPr>
                <w:b/>
                <w:bCs/>
                <w:color w:val="1f8a4c"/>
                <w:sz w:val="20"/>
                <w:szCs w:val="20"/>
              </w:rPr>
              <w:t xml:space="preserve">Media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40" w:type="dxa"/>
            <w:vAlign w:val="center"/>
          </w:tcPr>
          <w:p>
            <w:pPr>
              <w:pBdr/>
              <w:spacing/>
              <w:ind/>
              <w:rPr/>
            </w:pPr>
            <w:r>
              <w:rPr>
                <w:sz w:val="20"/>
                <w:szCs w:val="20"/>
              </w:rPr>
              <w:t xml:space="preserve">Reduce vulnerabilidades</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sz w:val="20"/>
                <w:szCs w:val="20"/>
              </w:rPr>
              <w:t xml:space="preserve">Edición SQL Standard</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vAlign w:val="center"/>
          </w:tcPr>
          <w:p>
            <w:pPr>
              <w:pBdr/>
              <w:spacing/>
              <w:ind/>
              <w:rPr/>
            </w:pPr>
            <w:r>
              <w:rPr>
                <w:sz w:val="20"/>
                <w:szCs w:val="20"/>
              </w:rPr>
              <w:t xml:space="preserve">Coste</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vAlign w:val="center"/>
          </w:tcPr>
          <w:p>
            <w:pPr>
              <w:pBdr/>
              <w:spacing/>
              <w:ind/>
              <w:rPr/>
            </w:pPr>
            <w:r>
              <w:rPr>
                <w:b/>
                <w:bCs/>
                <w:color w:val="1f8a4c"/>
                <w:sz w:val="20"/>
                <w:szCs w:val="20"/>
              </w:rPr>
              <w:t xml:space="preserve">Media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40" w:type="dxa"/>
            <w:vAlign w:val="center"/>
          </w:tcPr>
          <w:p>
            <w:pPr>
              <w:pBdr/>
              <w:spacing/>
              <w:ind/>
              <w:rPr/>
            </w:pPr>
            <w:r>
              <w:rPr>
                <w:sz w:val="20"/>
                <w:szCs w:val="20"/>
              </w:rPr>
              <w:t xml:space="preserve">Ahorro sin pérdida funcional</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sz w:val="20"/>
                <w:szCs w:val="20"/>
              </w:rPr>
              <w:t xml:space="preserve">Monitorización gestionada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vAlign w:val="center"/>
          </w:tcPr>
          <w:p>
            <w:pPr>
              <w:pBdr/>
              <w:spacing/>
              <w:ind/>
              <w:rPr/>
            </w:pPr>
            <w:r>
              <w:rPr>
                <w:sz w:val="20"/>
                <w:szCs w:val="20"/>
              </w:rPr>
              <w:t xml:space="preserve">Observabilidad</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vAlign w:val="center"/>
          </w:tcPr>
          <w:p>
            <w:pPr>
              <w:pBdr/>
              <w:spacing/>
              <w:ind/>
              <w:rPr/>
            </w:pPr>
            <w:r>
              <w:rPr>
                <w:b/>
                <w:bCs/>
                <w:color w:val="1f8a4c"/>
                <w:sz w:val="20"/>
                <w:szCs w:val="20"/>
              </w:rPr>
              <w:t xml:space="preserve">Media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40" w:type="dxa"/>
            <w:vAlign w:val="center"/>
          </w:tcPr>
          <w:p>
            <w:pPr>
              <w:pBdr/>
              <w:spacing/>
              <w:ind/>
              <w:rPr/>
            </w:pPr>
            <w:r>
              <w:rPr>
                <w:sz w:val="20"/>
                <w:szCs w:val="20"/>
              </w:rPr>
              <w:t xml:space="preserve">Detección proactiva</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sz w:val="20"/>
                <w:szCs w:val="20"/>
              </w:rPr>
              <w:t xml:space="preserve">Pen testing periódico</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vAlign w:val="center"/>
          </w:tcPr>
          <w:p>
            <w:pPr>
              <w:pBdr/>
              <w:spacing/>
              <w:ind/>
              <w:rPr/>
            </w:pPr>
            <w:r>
              <w:rPr>
                <w:sz w:val="20"/>
                <w:szCs w:val="20"/>
              </w:rPr>
              <w:t xml:space="preserve">Seguridad</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vAlign w:val="center"/>
          </w:tcPr>
          <w:p>
            <w:pPr>
              <w:pBdr/>
              <w:spacing/>
              <w:ind/>
              <w:rPr/>
            </w:pPr>
            <w:r>
              <w:rPr>
                <w:b/>
                <w:bCs/>
                <w:color w:val="1f8a4c"/>
                <w:sz w:val="20"/>
                <w:szCs w:val="20"/>
              </w:rPr>
              <w:t xml:space="preserve">Media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40" w:type="dxa"/>
            <w:vAlign w:val="center"/>
          </w:tcPr>
          <w:p>
            <w:pPr>
              <w:pBdr/>
              <w:spacing/>
              <w:ind/>
              <w:rPr/>
            </w:pPr>
            <w:r>
              <w:rPr>
                <w:sz w:val="20"/>
                <w:szCs w:val="20"/>
              </w:rPr>
              <w:t xml:space="preserve">Reduce superficie de ataque</w:t>
            </w:r>
            <w:r/>
          </w:p>
        </w:tc>
      </w:tr>
    </w:tbl>
    <w:p>
      <w:pPr>
        <w:pStyle w:val="808"/>
        <w:pBdr/>
        <w:spacing/>
        <w:ind/>
        <w:rPr/>
      </w:pPr>
      <w:r/>
      <w:bookmarkStart w:id="28" w:name="_Toc28"/>
      <w:r>
        <w:t xml:space="preserve">8. Puntos a tratar con Aramón</w:t>
      </w:r>
      <w:r/>
      <w:bookmarkEnd w:id="28"/>
      <w:r/>
      <w:r/>
    </w:p>
    <w:p>
      <w:pPr>
        <w:pBdr/>
        <w:spacing w:after="120" w:line="276" w:lineRule="auto"/>
        <w:ind/>
        <w:rPr/>
      </w:pPr>
      <w:r>
        <w:t xml:space="preserve">Para cerrar el alcance en próximas reuniones, quedan pendientes de acordar conjuntamente:</w:t>
      </w:r>
      <w:r/>
    </w:p>
    <w:p>
      <w:pPr>
        <w:pStyle w:val="800"/>
        <w:numPr>
          <w:ilvl w:val="0"/>
          <w:numId w:val="2"/>
        </w:numPr>
        <w:pBdr/>
        <w:spacing w:after="60" w:line="276" w:lineRule="auto"/>
        <w:ind/>
        <w:rPr/>
      </w:pPr>
      <w:r>
        <w:t xml:space="preserve">Políticas de rotación y retención de las copias de seguridad (con la obligación fiscal de cinco años como referencia).</w:t>
      </w:r>
      <w:r/>
    </w:p>
    <w:p>
      <w:pPr>
        <w:pStyle w:val="800"/>
        <w:numPr>
          <w:ilvl w:val="0"/>
          <w:numId w:val="2"/>
        </w:numPr>
        <w:pBdr/>
        <w:spacing w:after="60" w:line="276" w:lineRule="auto"/>
        <w:ind/>
        <w:rPr/>
      </w:pPr>
      <w:r>
        <w:t xml:space="preserve">Alcance definitivo del particionado del servidor SQL.</w:t>
      </w:r>
      <w:r/>
    </w:p>
    <w:p>
      <w:pPr>
        <w:pStyle w:val="800"/>
        <w:numPr>
          <w:ilvl w:val="0"/>
          <w:numId w:val="2"/>
        </w:numPr>
        <w:pBdr/>
        <w:spacing w:after="60" w:line="276" w:lineRule="auto"/>
        <w:ind/>
        <w:rPr/>
      </w:pPr>
      <w:r>
        <w:t xml:space="preserve">Elección de la opción de WAF entre las planteadas.</w:t>
      </w:r>
      <w:r/>
    </w:p>
    <w:p>
      <w:pPr>
        <w:pStyle w:val="808"/>
        <w:pBdr/>
        <w:spacing/>
        <w:ind/>
        <w:rPr/>
      </w:pPr>
      <w:r/>
      <w:bookmarkStart w:id="29" w:name="_Toc29"/>
      <w:r>
        <w:t xml:space="preserve">Anexo A. Adaptación a Azure</w:t>
      </w:r>
      <w:r/>
      <w:bookmarkEnd w:id="29"/>
      <w:r/>
      <w:r/>
    </w:p>
    <w:p>
      <w:pPr>
        <w:pBdr/>
        <w:spacing w:after="120" w:line="276" w:lineRule="auto"/>
        <w:ind/>
        <w:rPr/>
      </w:pPr>
      <w:r>
        <w:rPr>
          <w:i/>
          <w:iCs/>
        </w:rPr>
        <w:t xml:space="preserve">El cuerpo del informe se ha planteado en un modelo agnóstico. Este anexo recoge cómo se materializaría cada propuesta sob</w:t>
      </w:r>
      <w:r>
        <w:rPr>
          <w:i/>
          <w:iCs/>
        </w:rPr>
        <w:t xml:space="preserve">re Microsoft Azure, opción especialmente cómoda por su afinidad con las bases de datos Microsoft SQL Server. Su principal ventaja es la sustitución de componentes que habría que mantener manualmente por servicios gestionados, reduciendo la carga operativa.</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3080"/>
        <w:gridCol w:w="308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b/>
                <w:bCs/>
                <w:color w:val="ffffff"/>
                <w:sz w:val="20"/>
                <w:szCs w:val="20"/>
              </w:rPr>
              <w:t xml:space="preserve">Propuesta (agnóstica)</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80" w:type="dxa"/>
            <w:vAlign w:val="center"/>
          </w:tcPr>
          <w:p>
            <w:pPr>
              <w:pBdr/>
              <w:spacing/>
              <w:ind/>
              <w:rPr/>
            </w:pPr>
            <w:r>
              <w:rPr>
                <w:b/>
                <w:bCs/>
                <w:color w:val="ffffff"/>
                <w:sz w:val="20"/>
                <w:szCs w:val="20"/>
              </w:rPr>
              <w:t xml:space="preserve">Servicio en Azure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80" w:type="dxa"/>
            <w:vAlign w:val="center"/>
          </w:tcPr>
          <w:p>
            <w:pPr>
              <w:pBdr/>
              <w:spacing/>
              <w:ind/>
              <w:rPr/>
            </w:pPr>
            <w:r>
              <w:rPr>
                <w:b/>
                <w:bCs/>
                <w:color w:val="ffffff"/>
                <w:sz w:val="20"/>
                <w:szCs w:val="20"/>
              </w:rPr>
              <w:t xml:space="preserve">Ventaja principal</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sz w:val="20"/>
                <w:szCs w:val="20"/>
              </w:rPr>
              <w:t xml:space="preserve">Particionado SQL</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80" w:type="dxa"/>
            <w:vAlign w:val="center"/>
          </w:tcPr>
          <w:p>
            <w:pPr>
              <w:pBdr/>
              <w:spacing/>
              <w:ind/>
              <w:rPr/>
            </w:pPr>
            <w:r>
              <w:rPr>
                <w:sz w:val="20"/>
                <w:szCs w:val="20"/>
              </w:rPr>
              <w:t xml:space="preserve">Azure SQL (Elastic Pools / Managed Instance)</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80" w:type="dxa"/>
            <w:vAlign w:val="center"/>
          </w:tcPr>
          <w:p>
            <w:pPr>
              <w:pBdr/>
              <w:spacing/>
              <w:ind/>
              <w:rPr/>
            </w:pPr>
            <w:r>
              <w:rPr>
                <w:sz w:val="20"/>
                <w:szCs w:val="20"/>
              </w:rPr>
              <w:t xml:space="preserve">Escalado gestionado y alta compatibilidad con SQL Server.</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sz w:val="20"/>
                <w:szCs w:val="20"/>
              </w:rPr>
              <w:t xml:space="preserve">Load Balancer + WAF</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80" w:type="dxa"/>
            <w:vAlign w:val="center"/>
          </w:tcPr>
          <w:p>
            <w:pPr>
              <w:pBdr/>
              <w:spacing/>
              <w:ind/>
              <w:rPr/>
            </w:pPr>
            <w:r>
              <w:rPr>
                <w:sz w:val="20"/>
                <w:szCs w:val="20"/>
              </w:rPr>
              <w:t xml:space="preserve">Application Gateway con WAF</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80" w:type="dxa"/>
            <w:vAlign w:val="center"/>
          </w:tcPr>
          <w:p>
            <w:pPr>
              <w:pBdr/>
              <w:spacing/>
              <w:ind/>
              <w:rPr/>
            </w:pPr>
            <w:r>
              <w:rPr>
                <w:sz w:val="20"/>
                <w:szCs w:val="20"/>
              </w:rPr>
              <w:t xml:space="preserve">Balanceo y reglas OWASP gestionadas en un único punto.</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sz w:val="20"/>
                <w:szCs w:val="20"/>
              </w:rPr>
              <w:t xml:space="preserve">Monitorización y logs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80" w:type="dxa"/>
            <w:vAlign w:val="center"/>
          </w:tcPr>
          <w:p>
            <w:pPr>
              <w:pBdr/>
              <w:spacing/>
              <w:ind/>
              <w:rPr/>
            </w:pPr>
            <w:r>
              <w:rPr>
                <w:sz w:val="20"/>
                <w:szCs w:val="20"/>
              </w:rPr>
              <w:t xml:space="preserve">Azure Monitor + Log Analytics + Sentinel</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80" w:type="dxa"/>
            <w:vAlign w:val="center"/>
          </w:tcPr>
          <w:p>
            <w:pPr>
              <w:pBdr/>
              <w:spacing/>
              <w:ind/>
              <w:rPr/>
            </w:pPr>
            <w:r>
              <w:rPr>
                <w:sz w:val="20"/>
                <w:szCs w:val="20"/>
              </w:rPr>
              <w:t xml:space="preserve">Retención gestionada y detección proactiva sin scripts propios.</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sz w:val="20"/>
                <w:szCs w:val="20"/>
              </w:rPr>
              <w:t xml:space="preserve">Acceso sin contraseña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80" w:type="dxa"/>
            <w:vAlign w:val="center"/>
          </w:tcPr>
          <w:p>
            <w:pPr>
              <w:pBdr/>
              <w:spacing/>
              <w:ind/>
              <w:rPr/>
            </w:pPr>
            <w:r>
              <w:rPr>
                <w:sz w:val="20"/>
                <w:szCs w:val="20"/>
              </w:rPr>
              <w:t xml:space="preserve">Microsoft Entra ID (MFA, FIDO2, Windows Hello)</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80" w:type="dxa"/>
            <w:vAlign w:val="center"/>
          </w:tcPr>
          <w:p>
            <w:pPr>
              <w:pBdr/>
              <w:spacing/>
              <w:ind/>
              <w:rPr/>
            </w:pPr>
            <w:r>
              <w:rPr>
                <w:sz w:val="20"/>
                <w:szCs w:val="20"/>
              </w:rPr>
              <w:t xml:space="preserve">Identidad centralizada y passwordless.</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sz w:val="20"/>
                <w:szCs w:val="20"/>
              </w:rPr>
              <w:t xml:space="preserve">Gestión de parches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80" w:type="dxa"/>
            <w:vAlign w:val="center"/>
          </w:tcPr>
          <w:p>
            <w:pPr>
              <w:pBdr/>
              <w:spacing/>
              <w:ind/>
              <w:rPr/>
            </w:pPr>
            <w:r>
              <w:rPr>
                <w:sz w:val="20"/>
                <w:szCs w:val="20"/>
              </w:rPr>
              <w:t xml:space="preserve">Azure Update Manager</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80" w:type="dxa"/>
            <w:vAlign w:val="center"/>
          </w:tcPr>
          <w:p>
            <w:pPr>
              <w:pBdr/>
              <w:spacing/>
              <w:ind/>
              <w:rPr/>
            </w:pPr>
            <w:r>
              <w:rPr>
                <w:sz w:val="20"/>
                <w:szCs w:val="20"/>
              </w:rPr>
              <w:t xml:space="preserve">Parcheo programado y auditable de todas las máquinas.</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rPr/>
            </w:pPr>
            <w:r>
              <w:rPr>
                <w:sz w:val="20"/>
                <w:szCs w:val="20"/>
              </w:rPr>
              <w:t xml:space="preserve">Copias de seguridad</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80" w:type="dxa"/>
            <w:vAlign w:val="center"/>
          </w:tcPr>
          <w:p>
            <w:pPr>
              <w:pBdr/>
              <w:spacing/>
              <w:ind/>
              <w:rPr/>
            </w:pPr>
            <w:r>
              <w:rPr>
                <w:sz w:val="20"/>
                <w:szCs w:val="20"/>
              </w:rPr>
              <w:t xml:space="preserve">Azure Backup</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80" w:type="dxa"/>
            <w:vAlign w:val="center"/>
          </w:tcPr>
          <w:p>
            <w:pPr>
              <w:pBdr/>
              <w:spacing/>
              <w:ind/>
              <w:rPr/>
            </w:pPr>
            <w:r>
              <w:rPr>
                <w:sz w:val="20"/>
                <w:szCs w:val="20"/>
              </w:rPr>
              <w:t xml:space="preserve">Copias gestionadas con retención y restauración probada.</w:t>
            </w:r>
            <w:r/>
          </w:p>
        </w:tc>
      </w:tr>
    </w:tbl>
    <w:p>
      <w:pPr>
        <w:pStyle w:val="808"/>
        <w:pBdr/>
        <w:spacing/>
        <w:ind/>
        <w:rPr/>
      </w:pPr>
      <w:r/>
      <w:bookmarkStart w:id="30" w:name="_Toc30"/>
      <w:r>
        <w:t xml:space="preserve">Anexo B. Cumplimiento ENS-Media</w:t>
      </w:r>
      <w:r/>
      <w:bookmarkEnd w:id="30"/>
      <w:r/>
      <w:r/>
    </w:p>
    <w:p>
      <w:pPr>
        <w:pBdr/>
        <w:spacing w:after="120" w:line="276" w:lineRule="auto"/>
        <w:ind/>
        <w:rPr/>
      </w:pPr>
      <w:r>
        <w:rPr>
          <w:i/>
          <w:iCs/>
        </w:rPr>
        <w:t xml:space="preserve">El Esquema Nacional de Seguridad (ENS) establece, en su categoría media, un conjunto de medidas de seguridad de obligado cum</w:t>
      </w:r>
      <w:r>
        <w:rPr>
          <w:i/>
          <w:iCs/>
        </w:rPr>
        <w:t xml:space="preserve">plimiento. La arquitectura propuesta facilita ese encaje. Este anexo recoge, de forma resumida, cómo las propuestas contribuyen a los principales bloques de medidas. No constituye una declaración de conformidad, sino una orientación para fases posteriores.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3180"/>
        <w:gridCol w:w="318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pPr>
              <w:pBdr/>
              <w:spacing/>
              <w:ind/>
              <w:rPr/>
            </w:pPr>
            <w:r>
              <w:rPr>
                <w:b/>
                <w:bCs/>
                <w:color w:val="ffffff"/>
                <w:sz w:val="20"/>
                <w:szCs w:val="20"/>
              </w:rPr>
              <w:t xml:space="preserve">Bloque ENS</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80" w:type="dxa"/>
            <w:vAlign w:val="center"/>
          </w:tcPr>
          <w:p>
            <w:pPr>
              <w:pBdr/>
              <w:spacing/>
              <w:ind/>
              <w:rPr/>
            </w:pPr>
            <w:r>
              <w:rPr>
                <w:b/>
                <w:bCs/>
                <w:color w:val="ffffff"/>
                <w:sz w:val="20"/>
                <w:szCs w:val="20"/>
              </w:rPr>
              <w:t xml:space="preserve">Qué exige (resumen)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80" w:type="dxa"/>
            <w:vAlign w:val="center"/>
          </w:tcPr>
          <w:p>
            <w:pPr>
              <w:pBdr/>
              <w:spacing/>
              <w:ind/>
              <w:rPr/>
            </w:pPr>
            <w:r>
              <w:rPr>
                <w:b/>
                <w:bCs/>
                <w:color w:val="ffffff"/>
                <w:sz w:val="20"/>
                <w:szCs w:val="20"/>
              </w:rPr>
              <w:t xml:space="preserve">Cómo lo cubre la propuesta</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pPr>
              <w:pBdr/>
              <w:spacing/>
              <w:ind/>
              <w:rPr/>
            </w:pPr>
            <w:r>
              <w:rPr>
                <w:sz w:val="20"/>
                <w:szCs w:val="20"/>
              </w:rPr>
              <w:t xml:space="preserve">Control de acceso</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80" w:type="dxa"/>
            <w:vAlign w:val="center"/>
          </w:tcPr>
          <w:p>
            <w:pPr>
              <w:pBdr/>
              <w:spacing/>
              <w:ind/>
              <w:rPr/>
            </w:pPr>
            <w:r>
              <w:rPr>
                <w:sz w:val="20"/>
                <w:szCs w:val="20"/>
              </w:rPr>
              <w:t xml:space="preserve">Identificación, autenticación y mínimo privilegio.</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80" w:type="dxa"/>
            <w:vAlign w:val="center"/>
          </w:tcPr>
          <w:p>
            <w:pPr>
              <w:pBdr/>
              <w:spacing/>
              <w:ind/>
              <w:rPr/>
            </w:pPr>
            <w:r>
              <w:rPr>
                <w:sz w:val="20"/>
                <w:szCs w:val="20"/>
              </w:rPr>
              <w:t xml:space="preserve">MFA / acceso sin contraseña; firewall con todo cerrado por defecto.</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pPr>
              <w:pBdr/>
              <w:spacing/>
              <w:ind/>
              <w:rPr/>
            </w:pPr>
            <w:r>
              <w:rPr>
                <w:sz w:val="20"/>
                <w:szCs w:val="20"/>
              </w:rPr>
              <w:t xml:space="preserve">Protección de comunicaciones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80" w:type="dxa"/>
            <w:vAlign w:val="center"/>
          </w:tcPr>
          <w:p>
            <w:pPr>
              <w:pBdr/>
              <w:spacing/>
              <w:ind/>
              <w:rPr/>
            </w:pPr>
            <w:r>
              <w:rPr>
                <w:sz w:val="20"/>
                <w:szCs w:val="20"/>
              </w:rPr>
              <w:t xml:space="preserve">Perímetro seguro e inspección del tráfico.</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80" w:type="dxa"/>
            <w:vAlign w:val="center"/>
          </w:tcPr>
          <w:p>
            <w:pPr>
              <w:pBdr/>
              <w:spacing/>
              <w:ind/>
              <w:rPr/>
            </w:pPr>
            <w:r>
              <w:rPr>
                <w:sz w:val="20"/>
                <w:szCs w:val="20"/>
              </w:rPr>
              <w:t xml:space="preserve">WAF, terminación TLS centralizada y cabeceras de seguridad.</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pPr>
              <w:pBdr/>
              <w:spacing/>
              <w:ind/>
              <w:rPr/>
            </w:pPr>
            <w:r>
              <w:rPr>
                <w:sz w:val="20"/>
                <w:szCs w:val="20"/>
              </w:rPr>
              <w:t xml:space="preserve">Disponibilidad</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80" w:type="dxa"/>
            <w:vAlign w:val="center"/>
          </w:tcPr>
          <w:p>
            <w:pPr>
              <w:pBdr/>
              <w:spacing/>
              <w:ind/>
              <w:rPr/>
            </w:pPr>
            <w:r>
              <w:rPr>
                <w:sz w:val="20"/>
                <w:szCs w:val="20"/>
              </w:rPr>
              <w:t xml:space="preserve">Continuidad del servicio y redundancia.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80" w:type="dxa"/>
            <w:vAlign w:val="center"/>
          </w:tcPr>
          <w:p>
            <w:pPr>
              <w:pBdr/>
              <w:spacing/>
              <w:ind/>
              <w:rPr/>
            </w:pPr>
            <w:r>
              <w:rPr>
                <w:sz w:val="20"/>
                <w:szCs w:val="20"/>
              </w:rPr>
              <w:t xml:space="preserve">Load Balancer, particionado SQL y eliminación de SPOF.</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pPr>
              <w:pBdr/>
              <w:spacing/>
              <w:ind/>
              <w:rPr/>
            </w:pPr>
            <w:r>
              <w:rPr>
                <w:sz w:val="20"/>
                <w:szCs w:val="20"/>
              </w:rPr>
              <w:t xml:space="preserve">Trazabilidad</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80" w:type="dxa"/>
            <w:vAlign w:val="center"/>
          </w:tcPr>
          <w:p>
            <w:pPr>
              <w:pBdr/>
              <w:spacing/>
              <w:ind/>
              <w:rPr/>
            </w:pPr>
            <w:r>
              <w:rPr>
                <w:sz w:val="20"/>
                <w:szCs w:val="20"/>
              </w:rPr>
              <w:t xml:space="preserve">Registro de actividad y conservación de evidencias.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80" w:type="dxa"/>
            <w:vAlign w:val="center"/>
          </w:tcPr>
          <w:p>
            <w:pPr>
              <w:pBdr/>
              <w:spacing/>
              <w:ind/>
              <w:rPr/>
            </w:pPr>
            <w:r>
              <w:rPr>
                <w:sz w:val="20"/>
                <w:szCs w:val="20"/>
              </w:rPr>
              <w:t xml:space="preserve">Monitorización gestionada, analítica de logs y retención.</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pPr>
              <w:pBdr/>
              <w:spacing/>
              <w:ind/>
              <w:rPr/>
            </w:pPr>
            <w:r>
              <w:rPr>
                <w:sz w:val="20"/>
                <w:szCs w:val="20"/>
              </w:rPr>
              <w:t xml:space="preserve">Integridad y conservación</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80" w:type="dxa"/>
            <w:vAlign w:val="center"/>
          </w:tcPr>
          <w:p>
            <w:pPr>
              <w:pBdr/>
              <w:spacing/>
              <w:ind/>
              <w:rPr/>
            </w:pPr>
            <w:r>
              <w:rPr>
                <w:sz w:val="20"/>
                <w:szCs w:val="20"/>
              </w:rPr>
              <w:t xml:space="preserve">Copias de seguridad y retención de datos.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80" w:type="dxa"/>
            <w:vAlign w:val="center"/>
          </w:tcPr>
          <w:p>
            <w:pPr>
              <w:pBdr/>
              <w:spacing/>
              <w:ind/>
              <w:rPr/>
            </w:pPr>
            <w:r>
              <w:rPr>
                <w:sz w:val="20"/>
                <w:szCs w:val="20"/>
              </w:rPr>
              <w:t xml:space="preserve">Política 3-2-1 y retención fiscal de cinco años (AEAT-SII).</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pPr>
              <w:pBdr/>
              <w:spacing/>
              <w:ind/>
              <w:rPr/>
            </w:pPr>
            <w:r>
              <w:rPr>
                <w:sz w:val="20"/>
                <w:szCs w:val="20"/>
              </w:rPr>
              <w:t xml:space="preserve">Gestión de vulnerabilidades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80" w:type="dxa"/>
            <w:vAlign w:val="center"/>
          </w:tcPr>
          <w:p>
            <w:pPr>
              <w:pBdr/>
              <w:spacing/>
              <w:ind/>
              <w:rPr/>
            </w:pPr>
            <w:r>
              <w:rPr>
                <w:sz w:val="20"/>
                <w:szCs w:val="20"/>
              </w:rPr>
              <w:t xml:space="preserve">Actualización y evaluación periódica.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80" w:type="dxa"/>
            <w:vAlign w:val="center"/>
          </w:tcPr>
          <w:p>
            <w:pPr>
              <w:pBdr/>
              <w:spacing/>
              <w:ind/>
              <w:rPr/>
            </w:pPr>
            <w:r>
              <w:rPr>
                <w:sz w:val="20"/>
                <w:szCs w:val="20"/>
              </w:rPr>
              <w:t xml:space="preserve">Gestión central de parches y pen testing periódico.</w:t>
            </w:r>
            <w:r/>
          </w:p>
        </w:tc>
      </w:tr>
    </w:tbl>
    <w:p>
      <w:pPr>
        <w:pBdr/>
        <w:spacing/>
        <w:ind/>
        <w:rPr/>
        <w:sectPr>
          <w:footerReference w:type="default" r:id="rId14"/>
          <w:footnotePr/>
          <w:endnotePr/>
          <w:type w:val="nextPage"/>
          <w:pgSz w:h="15840" w:orient="portrait" w:w="12240"/>
          <w:pgMar w:top="1440" w:right="1440" w:bottom="1440" w:left="1440" w:header="708" w:footer="708" w:gutter="0"/>
          <w:cols w:num="1" w:sep="0" w:space="1701" w:equalWidth="1"/>
        </w:sectPr>
      </w:pPr>
      <w:r/>
      <w:r/>
    </w:p>
    <w:p>
      <w:pPr>
        <w:pBdr>
          <w:top w:val="single" w:color="2e75b6" w:sz="6" w:space="6"/>
        </w:pBdr>
        <w:spacing w:after="60" w:before="400"/>
        <w:ind/>
        <w:rPr/>
      </w:pPr>
      <w:r>
        <w:rPr>
          <w:b/>
          <w:bCs/>
          <w:color w:val="2e75b6"/>
          <w:sz w:val="24"/>
          <w:szCs w:val="24"/>
        </w:rPr>
        <w:t xml:space="preserve">webDreams</w:t>
      </w:r>
      <w:r/>
    </w:p>
    <w:p>
      <w:pPr>
        <w:pBdr/>
        <w:spacing w:after="120" w:line="276" w:lineRule="auto"/>
        <w:ind/>
        <w:rPr/>
      </w:pPr>
      <w:r>
        <w:t xml:space="preserve">Calle Ramón y Cajal, 3, Oficinas A y B · 22001 Huesca</w:t>
      </w:r>
      <w:r/>
    </w:p>
    <w:p>
      <w:pPr>
        <w:pBdr/>
        <w:spacing w:after="120" w:line="276" w:lineRule="auto"/>
        <w:ind/>
        <w:rPr/>
      </w:pPr>
      <w:r>
        <w:t xml:space="preserve">Teléfono 974 56 07 11 · www.wdreams.com · informacion@wdreams.com</w:t>
      </w:r>
      <w:r/>
    </w:p>
    <w:sectPr>
      <w:footerReference w:type="default" r:id="rId15"/>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4" w:space="6"/>
      </w:pBdr>
      <w:tabs>
        <w:tab w:val="right" w:leader="none" w:pos="9026"/>
      </w:tabs>
      <w:spacing/>
      <w:ind/>
      <w:rPr/>
    </w:pPr>
    <w:r>
      <w:rPr>
        <w:color w:val="555555"/>
        <w:sz w:val="16"/>
        <w:szCs w:val="16"/>
      </w:rPr>
      <w:t xml:space="preserve">webDreams · Información confidencial</w:t>
    </w:r>
    <w:r>
      <w:rPr>
        <w:color w:val="555555"/>
        <w:sz w:val="16"/>
        <w:szCs w:val="16"/>
      </w:rPr>
      <w:tab/>
      <w:t xml:space="preserve">Pág. </w:t>
    </w:r>
    <w:r>
      <w:rPr>
        <w:color w:val="555555"/>
        <w:sz w:val="16"/>
        <w:szCs w:val="16"/>
      </w:rPr>
      <w:fldChar w:fldCharType="begin"/>
      <w:instrText xml:space="preserve">PAGE</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4" w:space="6"/>
      </w:pBdr>
      <w:tabs>
        <w:tab w:val="right" w:leader="none" w:pos="9026"/>
      </w:tabs>
      <w:spacing/>
      <w:ind/>
      <w:rPr/>
    </w:pPr>
    <w:r>
      <w:rPr>
        <w:color w:val="555555"/>
        <w:sz w:val="16"/>
        <w:szCs w:val="16"/>
      </w:rPr>
      <w:t xml:space="preserve">webDreams · Información confidencial</w:t>
    </w:r>
    <w:r>
      <w:rPr>
        <w:color w:val="555555"/>
        <w:sz w:val="16"/>
        <w:szCs w:val="16"/>
      </w:rPr>
      <w:tab/>
      <w:t xml:space="preserve">Pág. </w:t>
    </w:r>
    <w:r>
      <w:rPr>
        <w:color w:val="555555"/>
        <w:sz w:val="16"/>
        <w:szCs w:val="16"/>
      </w:rPr>
      <w:fldChar w:fldCharType="begin"/>
      <w:instrText xml:space="preserve">PAGE</w:instrText>
      <w:fldChar w:fldCharType="separate"/>
      <w:fldChar w:fldCharType="end"/>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4" w:space="6"/>
      </w:pBdr>
      <w:tabs>
        <w:tab w:val="right" w:leader="none" w:pos="9026"/>
      </w:tabs>
      <w:spacing/>
      <w:ind/>
      <w:rPr/>
    </w:pPr>
    <w:r>
      <w:rPr>
        <w:color w:val="555555"/>
        <w:sz w:val="16"/>
        <w:szCs w:val="16"/>
      </w:rPr>
      <w:t xml:space="preserve">webDreams · Información confidencial</w:t>
    </w:r>
    <w:r>
      <w:rPr>
        <w:color w:val="555555"/>
        <w:sz w:val="16"/>
        <w:szCs w:val="16"/>
      </w:rPr>
      <w:tab/>
      <w:t xml:space="preserve">Pág. </w:t>
    </w:r>
    <w:r>
      <w:rPr>
        <w:color w:val="555555"/>
        <w:sz w:val="16"/>
        <w:szCs w:val="16"/>
      </w:rPr>
      <w:fldChar w:fldCharType="begin"/>
      <w:instrText xml:space="preserve">PAGE</w:instrText>
      <w:fldChar w:fldCharType="separate"/>
      <w:fldChar w:fldCharType="end"/>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4" w:space="6"/>
      </w:pBdr>
      <w:tabs>
        <w:tab w:val="right" w:leader="none" w:pos="9026"/>
      </w:tabs>
      <w:spacing/>
      <w:ind/>
      <w:rPr/>
    </w:pPr>
    <w:r>
      <w:rPr>
        <w:color w:val="555555"/>
        <w:sz w:val="16"/>
        <w:szCs w:val="16"/>
      </w:rPr>
      <w:t xml:space="preserve">webDreams · Información confidencial</w:t>
    </w:r>
    <w:r>
      <w:rPr>
        <w:color w:val="555555"/>
        <w:sz w:val="16"/>
        <w:szCs w:val="16"/>
      </w:rPr>
      <w:tab/>
      <w:t xml:space="preserve">Pág. </w:t>
    </w:r>
    <w:r>
      <w:rPr>
        <w:color w:val="555555"/>
        <w:sz w:val="16"/>
        <w:szCs w:val="16"/>
      </w:rPr>
      <w:fldChar w:fldCharType="begin"/>
      <w:instrText xml:space="preserve">PAGE</w:instrText>
      <w:fldChar w:fldCharType="separate"/>
      <w:fldChar w:fldCharType="end"/>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4" w:space="6"/>
      </w:pBdr>
      <w:tabs>
        <w:tab w:val="right" w:leader="none" w:pos="9026"/>
      </w:tabs>
      <w:spacing/>
      <w:ind/>
      <w:rPr/>
    </w:pPr>
    <w:r>
      <w:rPr>
        <w:color w:val="555555"/>
        <w:sz w:val="16"/>
        <w:szCs w:val="16"/>
      </w:rPr>
      <w:t xml:space="preserve">webDreams · Información confidencial</w:t>
    </w:r>
    <w:r>
      <w:rPr>
        <w:color w:val="555555"/>
        <w:sz w:val="16"/>
        <w:szCs w:val="16"/>
      </w:rPr>
      <w:tab/>
      <w:t xml:space="preserve">Pág. </w:t>
    </w:r>
    <w:r>
      <w:rPr>
        <w:color w:val="555555"/>
        <w:sz w:val="16"/>
        <w:szCs w:val="16"/>
      </w:rPr>
      <w:fldChar w:fldCharType="begin"/>
      <w:instrText xml:space="preserve">PAGE</w:instrText>
      <w:fldChar w:fldCharType="separate"/>
      <w:fldChar w:fldCharType="end"/>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4" w:space="6"/>
      </w:pBdr>
      <w:tabs>
        <w:tab w:val="right" w:leader="none" w:pos="9026"/>
      </w:tabs>
      <w:spacing/>
      <w:ind/>
      <w:rPr/>
    </w:pPr>
    <w:r>
      <w:rPr>
        <w:color w:val="555555"/>
        <w:sz w:val="16"/>
        <w:szCs w:val="16"/>
      </w:rPr>
      <w:t xml:space="preserve">webDreams · Información confidencial</w:t>
    </w:r>
    <w:r>
      <w:rPr>
        <w:color w:val="555555"/>
        <w:sz w:val="16"/>
        <w:szCs w:val="16"/>
      </w:rPr>
      <w:tab/>
      <w:t xml:space="preserve">Pág. </w:t>
    </w:r>
    <w:r>
      <w:rPr>
        <w:color w:val="555555"/>
        <w:sz w:val="16"/>
        <w:szCs w:val="16"/>
      </w:rPr>
      <w:fldChar w:fldCharType="begin"/>
      <w:instrText xml:space="preserve">PAGE</w:instrText>
      <w:fldChar w:fldCharType="separate"/>
      <w:fldChar w:fldCharType="end"/>
    </w: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4" w:space="6"/>
      </w:pBdr>
      <w:tabs>
        <w:tab w:val="right" w:leader="none" w:pos="9026"/>
      </w:tabs>
      <w:spacing/>
      <w:ind/>
      <w:rPr/>
    </w:pPr>
    <w:r>
      <w:rPr>
        <w:color w:val="555555"/>
        <w:sz w:val="16"/>
        <w:szCs w:val="16"/>
      </w:rPr>
      <w:t xml:space="preserve">webDreams · Información confidencial</w:t>
    </w:r>
    <w:r>
      <w:rPr>
        <w:color w:val="555555"/>
        <w:sz w:val="16"/>
        <w:szCs w:val="16"/>
      </w:rPr>
      <w:tab/>
      <w:t xml:space="preserve">Pág. </w:t>
    </w:r>
    <w:r>
      <w:rPr>
        <w:color w:val="555555"/>
        <w:sz w:val="16"/>
        <w:szCs w:val="16"/>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80" w:left="560"/>
      </w:pPr>
      <w:rPr/>
      <w:start w:val="1"/>
      <w:suff w:val="tab"/>
    </w:lvl>
    <w:lvl w:ilvl="1">
      <w:isLgl w:val="false"/>
      <w:lvlJc w:val="left"/>
      <w:lvlText w:val="–"/>
      <w:numFmt w:val="bullet"/>
      <w:pPr>
        <w:pBdr/>
        <w:spacing/>
        <w:ind w:hanging="280" w:left="10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1"/>
        <w:szCs w:val="21"/>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80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80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8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96"/>
    <w:uiPriority w:val="9"/>
    <w:pPr>
      <w:pBdr/>
      <w:spacing/>
      <w:ind/>
    </w:pPr>
    <w:rPr>
      <w:rFonts w:ascii="Arial" w:hAnsi="Arial" w:eastAsia="Arial" w:cs="Arial"/>
      <w:i/>
      <w:iCs/>
      <w:color w:val="0f4761" w:themeColor="accent1" w:themeShade="BF"/>
    </w:rPr>
  </w:style>
  <w:style w:type="character" w:styleId="154">
    <w:name w:val="Heading 5 Char"/>
    <w:basedOn w:val="148"/>
    <w:link w:val="797"/>
    <w:uiPriority w:val="9"/>
    <w:pPr>
      <w:pBdr/>
      <w:spacing/>
      <w:ind/>
    </w:pPr>
    <w:rPr>
      <w:rFonts w:ascii="Arial" w:hAnsi="Arial" w:eastAsia="Arial" w:cs="Arial"/>
      <w:color w:val="0f4761" w:themeColor="accent1" w:themeShade="BF"/>
    </w:rPr>
  </w:style>
  <w:style w:type="character" w:styleId="155">
    <w:name w:val="Heading 6 Char"/>
    <w:basedOn w:val="148"/>
    <w:link w:val="798"/>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92"/>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92">
    <w:name w:val="Title"/>
    <w:qFormat/>
    <w:pPr>
      <w:pBdr/>
      <w:spacing/>
      <w:ind/>
    </w:pPr>
    <w:rPr>
      <w:sz w:val="56"/>
      <w:szCs w:val="56"/>
    </w:rPr>
  </w:style>
  <w:style w:type="paragraph" w:styleId="796">
    <w:name w:val="Heading 4"/>
    <w:qFormat/>
    <w:pPr>
      <w:pBdr/>
      <w:spacing/>
      <w:ind/>
    </w:pPr>
    <w:rPr>
      <w:i/>
      <w:iCs/>
      <w:color w:val="2e74b5"/>
    </w:rPr>
  </w:style>
  <w:style w:type="paragraph" w:styleId="797">
    <w:name w:val="Heading 5"/>
    <w:qFormat/>
    <w:pPr>
      <w:pBdr/>
      <w:spacing/>
      <w:ind/>
    </w:pPr>
    <w:rPr>
      <w:color w:val="2e74b5"/>
    </w:rPr>
  </w:style>
  <w:style w:type="paragraph" w:styleId="798">
    <w:name w:val="Heading 6"/>
    <w:qFormat/>
    <w:pPr>
      <w:pBdr/>
      <w:spacing/>
      <w:ind/>
    </w:pPr>
    <w:rPr>
      <w:color w:val="1f4d78"/>
    </w:rPr>
  </w:style>
  <w:style w:type="paragraph" w:styleId="799">
    <w:name w:val="Strong"/>
    <w:qFormat/>
    <w:pPr>
      <w:pBdr/>
      <w:spacing/>
      <w:ind/>
    </w:pPr>
    <w:rPr>
      <w:b/>
      <w:bCs/>
    </w:rPr>
  </w:style>
  <w:style w:type="paragraph" w:styleId="800">
    <w:name w:val="List Paragraph"/>
    <w:qFormat/>
    <w:pPr>
      <w:pBdr/>
      <w:spacing/>
      <w:ind/>
    </w:pPr>
  </w:style>
  <w:style w:type="character" w:styleId="801">
    <w:name w:val="Hyperlink"/>
    <w:uiPriority w:val="99"/>
    <w:unhideWhenUsed/>
    <w:pPr>
      <w:pBdr/>
      <w:spacing/>
      <w:ind/>
    </w:pPr>
    <w:rPr>
      <w:color w:val="0563c1"/>
      <w:u w:val="single"/>
    </w:rPr>
  </w:style>
  <w:style w:type="character" w:styleId="802">
    <w:name w:val="footnote reference"/>
    <w:uiPriority w:val="99"/>
    <w:semiHidden/>
    <w:unhideWhenUsed/>
    <w:pPr>
      <w:pBdr/>
      <w:spacing/>
      <w:ind/>
    </w:pPr>
    <w:rPr>
      <w:vertAlign w:val="superscript"/>
    </w:rPr>
  </w:style>
  <w:style w:type="paragraph" w:styleId="803">
    <w:name w:val="footnote text"/>
    <w:link w:val="804"/>
    <w:uiPriority w:val="99"/>
    <w:semiHidden/>
    <w:unhideWhenUsed/>
    <w:pPr>
      <w:pBdr/>
      <w:spacing w:after="0" w:line="240" w:lineRule="auto"/>
      <w:ind/>
    </w:pPr>
    <w:rPr>
      <w:sz w:val="20"/>
      <w:szCs w:val="20"/>
    </w:rPr>
  </w:style>
  <w:style w:type="character" w:styleId="804">
    <w:name w:val="Footnote Text Char"/>
    <w:link w:val="803"/>
    <w:uiPriority w:val="99"/>
    <w:semiHidden/>
    <w:unhideWhenUsed/>
    <w:pPr>
      <w:pBdr/>
      <w:spacing/>
      <w:ind/>
    </w:pPr>
    <w:rPr>
      <w:sz w:val="20"/>
      <w:szCs w:val="20"/>
    </w:rPr>
  </w:style>
  <w:style w:type="character" w:styleId="805">
    <w:name w:val="endnote reference"/>
    <w:uiPriority w:val="99"/>
    <w:semiHidden/>
    <w:unhideWhenUsed/>
    <w:pPr>
      <w:pBdr/>
      <w:spacing/>
      <w:ind/>
    </w:pPr>
    <w:rPr>
      <w:vertAlign w:val="superscript"/>
    </w:rPr>
  </w:style>
  <w:style w:type="paragraph" w:styleId="806">
    <w:name w:val="endnote text"/>
    <w:link w:val="807"/>
    <w:uiPriority w:val="99"/>
    <w:semiHidden/>
    <w:unhideWhenUsed/>
    <w:pPr>
      <w:pBdr/>
      <w:spacing w:after="0" w:line="240" w:lineRule="auto"/>
      <w:ind/>
    </w:pPr>
    <w:rPr>
      <w:sz w:val="20"/>
      <w:szCs w:val="20"/>
    </w:rPr>
  </w:style>
  <w:style w:type="character" w:styleId="807">
    <w:name w:val="Endnote Text Char"/>
    <w:link w:val="806"/>
    <w:uiPriority w:val="99"/>
    <w:semiHidden/>
    <w:unhideWhenUsed/>
    <w:pPr>
      <w:pBdr/>
      <w:spacing/>
      <w:ind/>
    </w:pPr>
    <w:rPr>
      <w:sz w:val="20"/>
      <w:szCs w:val="20"/>
    </w:rPr>
  </w:style>
  <w:style w:type="paragraph" w:styleId="808">
    <w:name w:val="Heading 1"/>
    <w:qFormat/>
    <w:pPr>
      <w:pBdr>
        <w:bottom w:val="single" w:color="2e75b6" w:sz="6" w:space="4"/>
      </w:pBdr>
      <w:spacing w:after="160" w:before="320"/>
      <w:ind/>
      <w:outlineLvl w:val="0"/>
    </w:pPr>
    <w:rPr>
      <w:rFonts w:ascii="Arial" w:hAnsi="Arial" w:eastAsia="Arial" w:cs="Arial"/>
      <w:b/>
      <w:bCs/>
      <w:color w:val="2e75b6"/>
      <w:sz w:val="30"/>
      <w:szCs w:val="30"/>
    </w:rPr>
  </w:style>
  <w:style w:type="paragraph" w:styleId="809">
    <w:name w:val="Heading 2"/>
    <w:qFormat/>
    <w:pPr>
      <w:pBdr/>
      <w:spacing w:after="120" w:before="220"/>
      <w:ind/>
      <w:outlineLvl w:val="1"/>
    </w:pPr>
    <w:rPr>
      <w:rFonts w:ascii="Arial" w:hAnsi="Arial" w:eastAsia="Arial" w:cs="Arial"/>
      <w:b/>
      <w:bCs/>
      <w:color w:val="1a1a1a"/>
      <w:sz w:val="25"/>
      <w:szCs w:val="25"/>
    </w:rPr>
  </w:style>
  <w:style w:type="paragraph" w:styleId="810">
    <w:name w:val="Heading 3"/>
    <w:qFormat/>
    <w:pPr>
      <w:pBdr/>
      <w:spacing w:after="80" w:before="160"/>
      <w:ind/>
      <w:outlineLvl w:val="2"/>
    </w:pPr>
    <w:rPr>
      <w:rFonts w:ascii="Arial" w:hAnsi="Arial" w:eastAsia="Arial" w:cs="Arial"/>
      <w:b/>
      <w:bCs/>
      <w:color w:val="555555"/>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footer" Target="footer4.xml" /><Relationship Id="rId13" Type="http://schemas.openxmlformats.org/officeDocument/2006/relationships/footer" Target="footer5.xml" /><Relationship Id="rId14" Type="http://schemas.openxmlformats.org/officeDocument/2006/relationships/footer" Target="footer6.xml" /><Relationship Id="rId15" Type="http://schemas.openxmlformats.org/officeDocument/2006/relationships/footer" Target="footer7.xml" /><Relationship Id="rId16" Type="http://schemas.openxmlformats.org/officeDocument/2006/relationships/image" Target="media/image1.png"/><Relationship Id="rId17"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Briefing Técnico — Aramón</dc:title>
  <dc:creator>webDreams</dc:creator>
  <cp:revision>2</cp:revision>
  <dcterms:created xsi:type="dcterms:W3CDTF">2026-06-08T04:24:58Z</dcterms:created>
  <dcterms:modified xsi:type="dcterms:W3CDTF">2026-06-08T04:30:49Z</dcterms:modified>
</cp:coreProperties>
</file>