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Title Page</w:t>
      </w:r>
    </w:p>
    <w:p>
      <w:r>
        <w:rPr>
          <w:b/>
        </w:rPr>
        <w:t>Article type:</w:t>
      </w:r>
      <w:r>
        <w:t xml:space="preserve"> Special Communication</w:t>
      </w:r>
    </w:p>
    <w:p>
      <w:r>
        <w:rPr>
          <w:b/>
        </w:rPr>
        <w:t>Title:</w:t>
      </w:r>
      <w:r>
        <w:t xml:space="preserve"> Module-level agreement is not replication: a reporting and reproducibility gate for public human intervertebral disc transcriptomes</w:t>
      </w:r>
    </w:p>
    <w:p>
      <w:r>
        <w:rPr>
          <w:b/>
        </w:rPr>
        <w:t>Authors:</w:t>
      </w:r>
      <w:r>
        <w:t xml:space="preserve"> Zhongyuan Liu</w:t>
      </w:r>
    </w:p>
    <w:p>
      <w:r>
        <w:rPr>
          <w:b/>
        </w:rPr>
        <w:t>Affiliations:</w:t>
      </w:r>
      <w:r>
        <w:t xml:space="preserve"> [Author affiliations and full postal addresses]</w:t>
      </w:r>
    </w:p>
    <w:p>
      <w:r>
        <w:rPr>
          <w:b/>
        </w:rPr>
        <w:t>Corresponding author:</w:t>
      </w:r>
      <w:r>
        <w:t xml:space="preserve"> Zhongyuan Liu, [affiliation], [email]</w:t>
      </w:r>
    </w:p>
    <w:p>
      <w:r>
        <w:rPr>
          <w:b/>
        </w:rPr>
        <w:t>Keywords:</w:t>
      </w:r>
      <w:r>
        <w:t xml:space="preserve"> reproducibility; transcriptomics; bioinformatics; gene-sets; intervertebral-disc</w:t>
      </w:r>
    </w:p>
    <w:p>
      <w:r>
        <w:rPr>
          <w:b/>
        </w:rPr>
        <w:t>Word count:</w:t>
      </w:r>
      <w:r>
        <w:t xml:space="preserve"> 4,794 words</w:t>
      </w:r>
    </w:p>
    <w:p>
      <w:r>
        <w:rPr>
          <w:b/>
        </w:rPr>
        <w:t>Figures:</w:t>
      </w:r>
      <w:r>
        <w:t xml:space="preserve"> 5</w:t>
      </w:r>
    </w:p>
    <w:p>
      <w:r>
        <w:rPr>
          <w:b/>
        </w:rPr>
        <w:t>Tables:</w:t>
      </w:r>
      <w:r>
        <w:t xml:space="preserve"> 3 (Tables 1-2 and Box 1)</w:t>
      </w:r>
    </w:p>
    <w:p>
      <w:r>
        <w:rPr>
          <w:b/>
        </w:rPr>
        <w:t>Supplementary material:</w:t>
      </w:r>
      <w:r>
        <w:t xml:space="preserve"> Tables S1-S27, Figure S1, methods and sensitivity outputs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  <w:pBdr>
        <w:top w:val="nil"/>
        <w:left w:val="nil"/>
        <w:bottom w:val="nil"/>
        <w:right w:val="nil"/>
      </w:pBdr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