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模块层面一致不等于复制：公共人椎间盘转录组的报告与可复现性门槛</w:t>
      </w:r>
    </w:p>
    <w:p>
      <w:pPr>
        <w:pStyle w:val="Heading1"/>
        <w:keepNext/>
      </w:pPr>
      <w:r>
        <w:t>摘要</w:t>
      </w:r>
    </w:p>
    <w:p>
      <w:r>
        <w:rPr>
          <w:b/>
        </w:rPr>
        <w:t>背景。</w:t>
      </w:r>
      <w:r>
        <w:t xml:space="preserve"> 椎间盘（intervertebral disc，IVD）领域的公共转录组再分析，常把某一模块在单个队列中显著，或在不同队列中方向相似，解释为可复现性证据。这种解释忽略了一个可能性：两个队列中的模块方向可能由不同的基因子集驱动。</w:t>
      </w:r>
    </w:p>
    <w:p>
      <w:r>
        <w:rPr>
          <w:b/>
        </w:rPr>
        <w:t>方法。</w:t>
      </w:r>
      <w:r>
        <w:t xml:space="preserve"> 我们审计了 6 个公开的人椎间盘组织转录组队列，并使用两个最大的分级纤维环队列 GSE70362 和 GSE23130 做匹配分析。我们将“全部可用样本”与严格样本集进行比较，后者限定为 Thompson I–IV 级、纤维环和激光捕获显微切割样本。效应量使用线性模型估计，并校正可获得的技术变量。对于每个基因集，我们报告各队列中的模块方向、精确检验和置换检验 p 值，以及两队列间的基因级符号一致率。我们还审计了 1,554 个 Hallmark、KEGG 和 Reactome 模块，以及 15 对组织队列。队列内部可复现性使用重复分层 split-half 分析评估；对于可提供供者 ID 的 GSE70362，加入供者级单样本和 cluster bootstrap 评估供者内非独立性，而 GSE23130 未提供供者 ID。解释结果前，还进行了全局漂移、处理混杂、多重检验和可靠性衰减检查。</w:t>
      </w:r>
    </w:p>
    <w:p>
      <w:r>
        <w:rPr>
          <w:b/>
        </w:rPr>
        <w:t>结果。</w:t>
      </w:r>
      <w:r>
        <w:t xml:space="preserve"> 在严格比较中，GSE23130 的 ECM 重塑模块有 77.4% 的基因上调，符号检验 p = 0.0017；GSE70362 仅 46.7% 的基因上调，p = 0.7077。两队列的基因级方向一致率为 23.3%，双侧精确符号检验 p = 0.0052，在主规则下低于独立方向下预期的 50%。替代探针折叠规则也未超过 50%，但低于随机的幅度并不稳健，随机探针选择的一致率中位数为 36.7%。供者级重采样后，GSE70362 的 ECM 上调比例中位数仍接近 50%，跨队列一致率中位数约为 30%。ECM 模块在两个队列中均有中等程度的内部可靠性，split-half Spearman rho 分别为 0.37 和 0.41。队列内部 cross-half 阳性对照的中位一致率为 63.3% 和 64.5%，高于跨队列的 23.3%。但 power 校准显示，在潜在相关为 0.6 时，名义 30 基因检验也只有 20.4% 的 power。因此，这一结果是“未能建立复制”，而不是“共享生物学不存在”的证据。1,554 个模块中，673 个仅在单队列显著，31 个在双队列显著；14 个在名义 p 值下通过额外的基因级一致门槛，但经过精确符号检验 FDR 后为 0 个。别名感知敏感性将模块数扩大到 1,572、名义基因级结果增加到 15，但严格 FDR 结果仍为 0。phenotype permutation 和表达匹配零模型作为敏感性分析保留。15 对椎间盘组织队列的中位基因级符号一致率为 49.4%，最高为 58.6%。定向检索后仍未发现符合 Tier A 标准的第三个纤维环严重度队列。在包含 95 篇开放获取椎间盘转录组文章的 scoping 语料中，79 篇使用了多于一个 GSE，62 篇在多队列分析中使用了“一致”类措辞，而没有文章按照预先设定的文本标准描述基因级一致率。</w:t>
      </w:r>
    </w:p>
    <w:p>
      <w:r>
        <w:rPr>
          <w:b/>
        </w:rPr>
        <w:t>结论。</w:t>
      </w:r>
      <w:r>
        <w:t xml:space="preserve"> 在公共人椎间盘转录组中，模块层面显著并不能建立跨队列复制。可复制的声明需要同一个预设基因集在独立队列中实现基因级同向变化，而不仅是模块方向相似。 我们将这一区分操作化为五层声明阶梯，从单队列探索性信号一直到通过 FDR 控制的基因级复制。</w:t>
      </w:r>
    </w:p>
    <w:p>
      <w:r>
        <w:rPr>
          <w:b/>
        </w:rPr>
        <w:t>关键词。</w:t>
      </w:r>
      <w:r>
        <w:t xml:space="preserve"> 可复现性；转录组学；生物信息学；基因集；椎间盘</w:t>
      </w:r>
    </w:p>
    <w:p>
      <w:pPr>
        <w:pStyle w:val="Heading1"/>
        <w:keepNext/>
      </w:pPr>
      <w:r>
        <w:t>意义陈述</w:t>
      </w:r>
    </w:p>
    <w:p>
      <w:r>
        <w:t>公共数据转录组研究常缺少足够的独立队列来完成生物学复制，但多队列研究仍频繁使用“一致”类措辞。本审计显示，一个模块可以同时具有强显著性和内部可复现性，却在跨队列基因级一致率上失败。实用建议很简单：同时报告模块方向和基因级符号一致率，单独任何一层都只能作为产生假设的证据。</w:t>
      </w:r>
    </w:p>
    <w:p>
      <w:pPr>
        <w:pStyle w:val="Heading1"/>
        <w:keepNext/>
      </w:pPr>
      <w:r>
        <w:t>引言</w:t>
      </w:r>
    </w:p>
    <w:p>
      <w:r>
        <w:t>椎间盘退变研究依赖许多小型人类转录组队列，这些队列在组织部位、RNA 处理方式、平台、退变分级和临床终点上存在差异。在包含 95 篇开放获取椎间盘转录组文章的 scoping 语料中，79 篇使用了多于一个 GSE，62 篇在多队列分析中使用了“一致”类措辞，而没有文章按照预设文本标准描述基因级一致率。因此，再分析可能通过引用一个数据集中的显著富集和另一个数据集中的方向相似结果，来支持某条通路或模块，却没有展示同一批基因是否复制。其他领域的跨组学与预后签名审计也显示，名义上的基因集重现和看似良好的区分能力，可以与有限的基因级重叠，或与适当零模型无法区分的表现同时存在 [1,2]。这些问题也与长期的研究有效性分析 [3] 以及系统复制项目一致，后者发现多数复制效应量小于原始估计 [4]。Open Science Collaboration 同样发现复制效应量约为原始效应量的一半 [5]。</w:t>
      </w:r>
    </w:p>
    <w:p>
      <w:r>
        <w:t>这一论证存在盲点。一个模块可能富集，是因为队列 A 中 80% 的基因向一个方向变化，队列 B 中 55% 的基因向同一方向变化，但真正驱动信号的基因在两个队列中并不相同。模块成员关系不能证明同一生物学程序被激活。基因级符号一致率是缺失的检查。转录组方法学基准进一步表明，逐基因的边缘选择会受到共表达结构的偏倚，因此模块聚合不能替代复制所需的基因级行为 [6]。</w:t>
      </w:r>
    </w:p>
    <w:p>
      <w:r>
        <w:t>因此，我们构建了一个针对公共人椎间盘转录组的可复现性审计（图 1）。审计提出四个问题。第一，被比较的样本是否测量同一组织和终点？第二，全局漂移、处理混杂或检测深度差异能否解释表面效应？第三，模块是否具有内部可复现性？第四，同一批基因是否在独立队列中同向变化？</w:t>
      </w:r>
    </w:p>
    <w:p>
      <w:r>
        <w:t>本审计不是新的通路发现研究，而是一个针对公共数据声明的阴性对照和报告框架。使用的基因集在跨队列比较前已经固定。本文有三个贡献：一个有匹配设计的椎间盘案例、一套可复用的基因级可复现性门槛，以及一套将探索性信号、内部稳定性、情境一致性、候选复制和 FDR 控制复制区分开的声明阶梯。本文的创新不在于新的统计检验或算法，而在于把领域匹配证据、可操作的声明门槛，以及覆盖供者依赖性、探针选择、基因身份、尺度和 FDR 家族结构的敏感性分析整合为一个审计体系。</w:t>
      </w:r>
    </w:p>
    <w:p>
      <w:pPr>
        <w:pStyle w:val="Heading1"/>
        <w:keepNext/>
      </w:pPr>
      <w:r>
        <w:t>方法</w:t>
      </w:r>
    </w:p>
    <w:p>
      <w:pPr>
        <w:pStyle w:val="Heading2"/>
        <w:keepNext/>
      </w:pPr>
      <w:r>
        <w:t>数据来源</w:t>
      </w:r>
    </w:p>
    <w:p>
      <w:r>
        <w:t>我们使用分析工作区中已存在的公共人椎间盘组织队列。主要分级比较使用 GSE70362（纤维环和髓核，Thompson I–V 级）和 GSE23130（纤维环，组织学 I–V 级）。其他组织队列包括 GSE186542、GSE167199、GSE146904 和 GSE207176。可复现性分析不使用血液队列，因为本文关注组织程序的迁移性，而不是血液与组织之间的一般性。GEO 是国际公共数据库，用于归档高通量功能基因组数据的原始数据、处理后数据和 metadata [7]。GSE70362 最初由 Kazezian 等报道 [8]，GSE23130 由 Gruber 等报道 [9]，GSE167199 由 Li 等报道 [10]。</w:t>
      </w:r>
    </w:p>
    <w:p>
      <w:r>
        <w:t>严格主分析使用 20 个 GSE70362 纤维环 Thompson I–IV 级样本，以及 15 个 GSE23130 激光捕获 I–IV 级样本。全样本比较使用 24 个 GSE70362 纤维环样本和全部 23 个 GSE23130 样本。</w:t>
      </w:r>
    </w:p>
    <w:p>
      <w:pPr>
        <w:pStyle w:val="Heading2"/>
        <w:keepNext/>
      </w:pPr>
      <w:r>
        <w:t>分析时序与预指定范围</w:t>
      </w:r>
    </w:p>
    <w:p>
      <w:r>
        <w:t>最终置换运行前，我们于 2026-09-16 冻结了内部分析计划，文件为 `Frozen Analysis Plan.md` 和 `docs/analysis_plan_v2.md`。该计划没有进行公开预注册。因此，本文中的“prespecified”指的是最终敏感性分析和声明语言在该次运行前已经固定，并不意味着整个研究是前瞻性、盲法或事先注册的。早期探索影响了队列和终点选择。读者应把本审计理解为带有内部冻结的透明回顾性分析，而不是公开注册的前瞻性研究。</w:t>
      </w:r>
    </w:p>
    <w:p>
      <w:pPr>
        <w:pStyle w:val="Heading2"/>
        <w:keepNext/>
      </w:pPr>
      <w:r>
        <w:t>数据协调与效应量估计</w:t>
      </w:r>
    </w:p>
    <w:p>
      <w:r>
        <w:t>我们直接解析 GEO series matrix。探针依据平台注释和人类 gene_info 表映射为 Entrez ID 或基因符号。主分析保留平台提供的 symbol；别名感知敏感性进一步通过当前 synonyms 和 nomenclature-authority symbols 映射历史 symbol。当一个基因符号对应多个探针时，主分析保留平均表达最高的探针。敏感性分析还使用首个探针、探针中位数以及重复随机探针选择。</w:t>
      </w:r>
    </w:p>
    <w:p>
      <w:r>
        <w:t>对于每个队列，我们对归一化表达矩阵拟合逐基因线性模型。方向定义为随退变分级增加。严格的 GSE70362 模型包含分级和批次；严格的 GSE23130 模型包含分级和组织来源。全样本 GSE23130 模型还包含处理方法。全样本 GSE70362 模型使用纤维环子集，以减少组织异质性。我们使用自编写的 ordinary least-squares 实现，而不是直接调用 limma；limma 提供了高通量表达数据逐基因线性模型的参考框架 [11]。</w:t>
      </w:r>
    </w:p>
    <w:p>
      <w:r>
        <w:t>分级只作为严格递增的 ordinal score 使用：I = 1，I-II = 1.5，II = 2，III = 3，IV = 4。报告的 direction 是逐基因单调趋势的符号。对同一 grade 顺序进行任何严格递增的重编码，符号都不会改变；系数大小依赖刻度，因此不解释为等间距剂量效应。该分析不检验任意非单调的 grade 差异。</w:t>
      </w:r>
    </w:p>
    <w:p>
      <w:pPr>
        <w:pStyle w:val="Heading2"/>
        <w:keepNext/>
      </w:pPr>
      <w:r>
        <w:t>可复现性门槛</w:t>
      </w:r>
    </w:p>
    <w:p>
      <w:r>
        <w:t>基因集分析最初用于通过协同变化的基因集合而不是孤立基因来解释全基因组表达谱 [12]。对于每个基因集，我们计算各队列中效应为正的基因比例、中位效应和精确符号检验 p 值。名义模块门槛要求两队列同向显著，并且共享基因的方向一致率高于 50%，p &lt; 0.05。随后我们加入严格门槛：对 1,554 个模块使用精确双侧符号检验和 Benjamini-Hochberg FDR [13]。队列内方向还使用分层标签置换、Freedman-Lane 残差置换和基于旋转的残差零模型评估 [14]。基因一致率使用大小匹配和表达匹配的经验零分布评估。只有通过精确 FDR 门槛的模块才称为 replicated。该门槛不要求所有基因一致，而是检验模块成员关系是否携带可跨队列迁移的信息。</w:t>
      </w:r>
    </w:p>
    <w:p>
      <w:r>
        <w:t>我们将该门槛应用于 7 个预设机制模块，以及至少包含 10 个可测基因的 1,554 个 Hallmark、KEGG 和 Reactome 模块。</w:t>
      </w:r>
    </w:p>
    <w:p>
      <w:r>
        <w:t>声明阶梯的操作定义如下。Level 2 要求两个匹配队列均达到名义同向显著。Level 3（候选基因级复制）还要求共享基因符号一致率大于 50%、精确单侧符号检验 p &lt; 0.05，以及 size-matched 经验零模型单侧 p &lt; 0.05。Level 4（强跨队列复制）要求基于双侧精确符号检验的队列方向检验和基因级一致率检验均通过预设模块家族的 Benjamini-Hochberg FDR 控制。只有达到 Level 4 的模块才在本研究中写作 replicated。</w:t>
      </w:r>
    </w:p>
    <w:p>
      <w:pPr>
        <w:pStyle w:val="Heading2"/>
        <w:keepNext/>
      </w:pPr>
      <w:r>
        <w:t>技术诊断</w:t>
      </w:r>
    </w:p>
    <w:p>
      <w:r>
        <w:t>我们计算每个队列中不同方向的基因比例和基因效应中位数。方向比例超出 30%–70%，或中位效应绝对值高于 0.2，被标记为可能存在全局漂移。我们交叉列出分级与组织、批次、处理方法和来源。我们没有直接使用 sva；已知的 batch 或 source 变量被纳入设计。sva 框架说明潜在变异可能使高通量实验产生偏倚 [15]。基于 empirical Bayes 的 ComBat 方法处理相关的一类批次效应问题 [16]。GSE23130 的 V 级样本仅存在于匀浆组织中，因此严格分析只保留激光捕获样本。</w:t>
      </w:r>
    </w:p>
    <w:p>
      <w:r>
        <w:t>内部可复现性使用 100 次重复的、按分级分层的 split-half 分析评估。每次重复中，两个半队列独立估计基因效应，并记录两个效应向量的 Spearman 相关。全基因组和 ECM 模块分别报告中位 split-half 相关。</w:t>
      </w:r>
    </w:p>
    <w:p>
      <w:r>
        <w:t>为解决 GSE70362 中同供者样本的非独立性，我们使用每个供者随机选择一个样本，以及供者级 cluster bootstrap，重复 ECM 分析。split-half 可靠性也改为按供者分开，而不是按样本分开。我们根据相关矩阵谱估计 ECM 模块的有效独立基因数，并在大小匹配零模型之外，使用表达匹配的随机基因集。GSE23130 的 metadata 不包含供者 ID，因此无法进行供者级重采样，该队列的残余供者内非独立性不能被排除。有效检验数采用 Li 和 Ji 的基于特征值的方法 [17]。</w:t>
      </w:r>
    </w:p>
    <w:p>
      <w:r>
        <w:t>最后，我们使用 Spearman-Brown 公式由 split-half 相关估计全样本可靠性，并模拟潜在相关从 0 到 0.8 时的预期符号一致率。这用于检验观察到的 23.3% 一致率是否可以完全由可靠性衰减解释。</w:t>
      </w:r>
    </w:p>
    <w:p>
      <w:pPr>
        <w:pStyle w:val="Heading2"/>
        <w:keepNext/>
      </w:pPr>
      <w:r>
        <w:t>队列对可比性与解释上限</w:t>
      </w:r>
    </w:p>
    <w:p>
      <w:r>
        <w:t>我们按照测量情境的匹配程度对队列对分类。Class A 对在组织部位、终点、处理方法和平台家族上均匹配。Class B 对在组织部位和终点上匹配，但处理方法或平台家族不同。Class C 对在组织部位或终点上不同，只能作为情境比较。</w:t>
      </w:r>
    </w:p>
    <w:p>
      <w:r>
        <w:t>主要的 GSE70362-GSE23130 比较属于 Class B：组织部位和退变分级终点匹配，但平台和处理方法不匹配。由于每个平台只由一个队列代表，平台身份与队列身份在结构上混杂，任何统计模型都无法把平台特异效应与队列生物学完全分离。因此，本审计可以检验预设模块信号能否在观察到的两个队列之间迁移，但不能建立与平台无关的生物学结论。即使某个模块通过 Level 4，这一解释上限仍然存在。MAQC 项目说明不同 microarray 平台在差异表达层面可以具有较高一致性，但这一结果不能解决本文的队列-平台不可识别问题 [18]。</w:t>
      </w:r>
    </w:p>
    <w:p>
      <w:r>
        <w:t>分级因素在队列内部也存在部分不可识别性：某些分级只出现在某一个 source 或 batch 中。因此，校正模型可以减少明显的技术混杂，但不能建立因果性的分级效应，也不能移除全部残余混杂。</w:t>
      </w:r>
    </w:p>
    <w:p>
      <w:pPr>
        <w:pStyle w:val="Heading2"/>
        <w:keepNext/>
      </w:pPr>
      <w:r>
        <w:t>软件与代码可用性</w:t>
      </w:r>
    </w:p>
    <w:p>
      <w:r>
        <w:t>本审计实现为独立的 Python 项目。所有表格和图形由 `run_audit.py` 重新生成；统计检验使用精确二项尾概率，除 NumPy 和 pandas 外不依赖额外统计库。代码位于项目仓库中。</w:t>
      </w:r>
    </w:p>
    <w:p>
      <w:pPr>
        <w:pStyle w:val="Heading1"/>
        <w:keepNext/>
      </w:pPr>
      <w:r>
        <w:t>结果</w:t>
      </w:r>
    </w:p>
    <w:p>
      <w:pPr>
        <w:pStyle w:val="Heading2"/>
        <w:keepNext/>
      </w:pPr>
      <w:r>
        <w:t>队列诊断</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378"/>
        <w:gridCol w:w="1378"/>
        <w:gridCol w:w="1378"/>
        <w:gridCol w:w="1378"/>
        <w:gridCol w:w="1378"/>
        <w:gridCol w:w="1378"/>
        <w:gridCol w:w="1378"/>
      </w:tblGrid>
      <w:tr>
        <w:trPr>
          <w:cantSplit/>
          <w:tblHeader w:val="true"/>
        </w:trPr>
        <w:tc>
          <w:tcPr>
            <w:tcW w:type="dxa" w:w="2485"/>
            <w:vAlign w:val="center"/>
            <w:shd w:fill="334E68"/>
          </w:tcPr>
          <w:p>
            <w:pPr>
              <w:jc w:val="left"/>
            </w:pPr>
            <w:r>
              <w:rPr>
                <w:b/>
                <w:color w:val="FFFFFF"/>
                <w:sz w:val="15"/>
              </w:rPr>
              <w:t>分析集</w:t>
            </w:r>
          </w:p>
        </w:tc>
        <w:tc>
          <w:tcPr>
            <w:tcW w:type="dxa" w:w="1169"/>
            <w:vAlign w:val="center"/>
            <w:shd w:fill="334E68"/>
          </w:tcPr>
          <w:p>
            <w:pPr>
              <w:jc w:val="center"/>
            </w:pPr>
            <w:r>
              <w:rPr>
                <w:b/>
                <w:color w:val="FFFFFF"/>
                <w:sz w:val="15"/>
              </w:rPr>
              <w:t>样本数</w:t>
            </w:r>
          </w:p>
        </w:tc>
        <w:tc>
          <w:tcPr>
            <w:tcW w:type="dxa" w:w="1169"/>
            <w:vAlign w:val="center"/>
            <w:shd w:fill="334E68"/>
          </w:tcPr>
          <w:p>
            <w:pPr>
              <w:jc w:val="center"/>
            </w:pPr>
            <w:r>
              <w:rPr>
                <w:b/>
                <w:color w:val="FFFFFF"/>
                <w:sz w:val="15"/>
              </w:rPr>
              <w:t>供者数</w:t>
            </w:r>
          </w:p>
        </w:tc>
        <w:tc>
          <w:tcPr>
            <w:tcW w:type="dxa" w:w="1169"/>
            <w:vAlign w:val="center"/>
            <w:shd w:fill="334E68"/>
          </w:tcPr>
          <w:p>
            <w:pPr>
              <w:jc w:val="center"/>
            </w:pPr>
            <w:r>
              <w:rPr>
                <w:b/>
                <w:color w:val="FFFFFF"/>
                <w:sz w:val="15"/>
              </w:rPr>
              <w:t>基因数</w:t>
            </w:r>
          </w:p>
        </w:tc>
        <w:tc>
          <w:tcPr>
            <w:tcW w:type="dxa" w:w="1169"/>
            <w:vAlign w:val="center"/>
            <w:shd w:fill="334E68"/>
          </w:tcPr>
          <w:p>
            <w:pPr>
              <w:jc w:val="center"/>
            </w:pPr>
            <w:r>
              <w:rPr>
                <w:b/>
                <w:color w:val="FFFFFF"/>
                <w:sz w:val="15"/>
              </w:rPr>
              <w:t>上调比例</w:t>
            </w:r>
          </w:p>
        </w:tc>
        <w:tc>
          <w:tcPr>
            <w:tcW w:type="dxa" w:w="1316"/>
            <w:vAlign w:val="center"/>
            <w:shd w:fill="334E68"/>
          </w:tcPr>
          <w:p>
            <w:pPr>
              <w:jc w:val="center"/>
            </w:pPr>
            <w:r>
              <w:rPr>
                <w:b/>
                <w:color w:val="FFFFFF"/>
                <w:sz w:val="15"/>
              </w:rPr>
              <w:t>中位效应</w:t>
            </w:r>
          </w:p>
        </w:tc>
        <w:tc>
          <w:tcPr>
            <w:tcW w:type="dxa" w:w="1169"/>
            <w:vAlign w:val="center"/>
            <w:shd w:fill="334E68"/>
          </w:tcPr>
          <w:p>
            <w:pPr>
              <w:jc w:val="center"/>
            </w:pPr>
            <w:r>
              <w:rPr>
                <w:b/>
                <w:color w:val="FFFFFF"/>
                <w:sz w:val="15"/>
              </w:rPr>
              <w:t>全局漂移</w:t>
            </w:r>
          </w:p>
        </w:tc>
      </w:tr>
      <w:tr>
        <w:trPr>
          <w:cantSplit/>
        </w:trPr>
        <w:tc>
          <w:tcPr>
            <w:tcW w:type="dxa" w:w="2485"/>
            <w:vAlign w:val="center"/>
          </w:tcPr>
          <w:p>
            <w:pPr>
              <w:jc w:val="left"/>
            </w:pPr>
            <w:r>
              <w:rPr>
                <w:sz w:val="15"/>
              </w:rPr>
              <w:t>GSE70362 AF，全部级别</w:t>
            </w:r>
          </w:p>
        </w:tc>
        <w:tc>
          <w:tcPr>
            <w:tcW w:type="dxa" w:w="1169"/>
            <w:vAlign w:val="center"/>
          </w:tcPr>
          <w:p>
            <w:pPr>
              <w:jc w:val="center"/>
            </w:pPr>
            <w:r>
              <w:rPr>
                <w:sz w:val="15"/>
              </w:rPr>
              <w:t>24</w:t>
            </w:r>
          </w:p>
        </w:tc>
        <w:tc>
          <w:tcPr>
            <w:tcW w:type="dxa" w:w="1169"/>
            <w:vAlign w:val="center"/>
          </w:tcPr>
          <w:p>
            <w:pPr>
              <w:jc w:val="center"/>
            </w:pPr>
            <w:r>
              <w:rPr>
                <w:sz w:val="15"/>
              </w:rPr>
              <w:t>18</w:t>
            </w:r>
          </w:p>
        </w:tc>
        <w:tc>
          <w:tcPr>
            <w:tcW w:type="dxa" w:w="1169"/>
            <w:vAlign w:val="center"/>
          </w:tcPr>
          <w:p>
            <w:pPr>
              <w:jc w:val="center"/>
            </w:pPr>
            <w:r>
              <w:rPr>
                <w:sz w:val="15"/>
              </w:rPr>
              <w:t>18479</w:t>
            </w:r>
          </w:p>
        </w:tc>
        <w:tc>
          <w:tcPr>
            <w:tcW w:type="dxa" w:w="1169"/>
            <w:vAlign w:val="center"/>
          </w:tcPr>
          <w:p>
            <w:pPr>
              <w:jc w:val="center"/>
            </w:pPr>
            <w:r>
              <w:rPr>
                <w:sz w:val="15"/>
              </w:rPr>
              <w:t>47.6%</w:t>
            </w:r>
          </w:p>
        </w:tc>
        <w:tc>
          <w:tcPr>
            <w:tcW w:type="dxa" w:w="1316"/>
            <w:vAlign w:val="center"/>
          </w:tcPr>
          <w:p>
            <w:pPr>
              <w:jc w:val="center"/>
            </w:pPr>
            <w:r>
              <w:rPr>
                <w:sz w:val="15"/>
              </w:rPr>
              <w:t>-0.0027</w:t>
            </w:r>
          </w:p>
        </w:tc>
        <w:tc>
          <w:tcPr>
            <w:tcW w:type="dxa" w:w="1169"/>
            <w:vAlign w:val="center"/>
          </w:tcPr>
          <w:p>
            <w:pPr>
              <w:jc w:val="center"/>
            </w:pPr>
            <w:r>
              <w:rPr>
                <w:sz w:val="15"/>
              </w:rPr>
              <w:t>否</w:t>
            </w:r>
          </w:p>
        </w:tc>
      </w:tr>
      <w:tr>
        <w:trPr>
          <w:cantSplit/>
        </w:trPr>
        <w:tc>
          <w:tcPr>
            <w:tcW w:type="dxa" w:w="2485"/>
            <w:vAlign w:val="center"/>
            <w:shd w:fill="F2F4F7"/>
          </w:tcPr>
          <w:p>
            <w:pPr>
              <w:jc w:val="left"/>
            </w:pPr>
            <w:r>
              <w:rPr>
                <w:sz w:val="15"/>
              </w:rPr>
              <w:t>GSE70362 AF，I–IV 级</w:t>
            </w:r>
          </w:p>
        </w:tc>
        <w:tc>
          <w:tcPr>
            <w:tcW w:type="dxa" w:w="1169"/>
            <w:vAlign w:val="center"/>
            <w:shd w:fill="F2F4F7"/>
          </w:tcPr>
          <w:p>
            <w:pPr>
              <w:jc w:val="center"/>
            </w:pPr>
            <w:r>
              <w:rPr>
                <w:sz w:val="15"/>
              </w:rPr>
              <w:t>20</w:t>
            </w:r>
          </w:p>
        </w:tc>
        <w:tc>
          <w:tcPr>
            <w:tcW w:type="dxa" w:w="1169"/>
            <w:vAlign w:val="center"/>
            <w:shd w:fill="F2F4F7"/>
          </w:tcPr>
          <w:p>
            <w:pPr>
              <w:jc w:val="center"/>
            </w:pPr>
            <w:r>
              <w:rPr>
                <w:sz w:val="15"/>
              </w:rPr>
              <w:t>16</w:t>
            </w:r>
          </w:p>
        </w:tc>
        <w:tc>
          <w:tcPr>
            <w:tcW w:type="dxa" w:w="1169"/>
            <w:vAlign w:val="center"/>
            <w:shd w:fill="F2F4F7"/>
          </w:tcPr>
          <w:p>
            <w:pPr>
              <w:jc w:val="center"/>
            </w:pPr>
            <w:r>
              <w:rPr>
                <w:sz w:val="15"/>
              </w:rPr>
              <w:t>18479</w:t>
            </w:r>
          </w:p>
        </w:tc>
        <w:tc>
          <w:tcPr>
            <w:tcW w:type="dxa" w:w="1169"/>
            <w:vAlign w:val="center"/>
            <w:shd w:fill="F2F4F7"/>
          </w:tcPr>
          <w:p>
            <w:pPr>
              <w:jc w:val="center"/>
            </w:pPr>
            <w:r>
              <w:rPr>
                <w:sz w:val="15"/>
              </w:rPr>
              <w:t>43.6%</w:t>
            </w:r>
          </w:p>
        </w:tc>
        <w:tc>
          <w:tcPr>
            <w:tcW w:type="dxa" w:w="1316"/>
            <w:vAlign w:val="center"/>
            <w:shd w:fill="F2F4F7"/>
          </w:tcPr>
          <w:p>
            <w:pPr>
              <w:jc w:val="center"/>
            </w:pPr>
            <w:r>
              <w:rPr>
                <w:sz w:val="15"/>
              </w:rPr>
              <w:t>-0.0089</w:t>
            </w:r>
          </w:p>
        </w:tc>
        <w:tc>
          <w:tcPr>
            <w:tcW w:type="dxa" w:w="1169"/>
            <w:vAlign w:val="center"/>
            <w:shd w:fill="F2F4F7"/>
          </w:tcPr>
          <w:p>
            <w:pPr>
              <w:jc w:val="center"/>
            </w:pPr>
            <w:r>
              <w:rPr>
                <w:sz w:val="15"/>
              </w:rPr>
              <w:t>否</w:t>
            </w:r>
          </w:p>
        </w:tc>
      </w:tr>
      <w:tr>
        <w:trPr>
          <w:cantSplit/>
        </w:trPr>
        <w:tc>
          <w:tcPr>
            <w:tcW w:type="dxa" w:w="2485"/>
            <w:vAlign w:val="center"/>
          </w:tcPr>
          <w:p>
            <w:pPr>
              <w:jc w:val="left"/>
            </w:pPr>
            <w:r>
              <w:rPr>
                <w:sz w:val="15"/>
              </w:rPr>
              <w:t>GSE23130，全部处理方式</w:t>
            </w:r>
          </w:p>
        </w:tc>
        <w:tc>
          <w:tcPr>
            <w:tcW w:type="dxa" w:w="1169"/>
            <w:vAlign w:val="center"/>
          </w:tcPr>
          <w:p>
            <w:pPr>
              <w:jc w:val="center"/>
            </w:pPr>
            <w:r>
              <w:rPr>
                <w:sz w:val="15"/>
              </w:rPr>
              <w:t>23</w:t>
            </w:r>
          </w:p>
        </w:tc>
        <w:tc>
          <w:tcPr>
            <w:tcW w:type="dxa" w:w="1169"/>
            <w:vAlign w:val="center"/>
          </w:tcPr>
          <w:p>
            <w:pPr>
              <w:jc w:val="center"/>
            </w:pPr>
            <w:r>
              <w:rPr>
                <w:sz w:val="15"/>
              </w:rPr>
              <w:t>不适用</w:t>
            </w:r>
          </w:p>
        </w:tc>
        <w:tc>
          <w:tcPr>
            <w:tcW w:type="dxa" w:w="1169"/>
            <w:vAlign w:val="center"/>
          </w:tcPr>
          <w:p>
            <w:pPr>
              <w:jc w:val="center"/>
            </w:pPr>
            <w:r>
              <w:rPr>
                <w:sz w:val="15"/>
              </w:rPr>
              <w:t>22107</w:t>
            </w:r>
          </w:p>
        </w:tc>
        <w:tc>
          <w:tcPr>
            <w:tcW w:type="dxa" w:w="1169"/>
            <w:vAlign w:val="center"/>
          </w:tcPr>
          <w:p>
            <w:pPr>
              <w:jc w:val="center"/>
            </w:pPr>
            <w:r>
              <w:rPr>
                <w:sz w:val="15"/>
              </w:rPr>
              <w:t>49.7%</w:t>
            </w:r>
          </w:p>
        </w:tc>
        <w:tc>
          <w:tcPr>
            <w:tcW w:type="dxa" w:w="1316"/>
            <w:vAlign w:val="center"/>
          </w:tcPr>
          <w:p>
            <w:pPr>
              <w:jc w:val="center"/>
            </w:pPr>
            <w:r>
              <w:rPr>
                <w:sz w:val="15"/>
              </w:rPr>
              <w:t>-0.0002</w:t>
            </w:r>
          </w:p>
        </w:tc>
        <w:tc>
          <w:tcPr>
            <w:tcW w:type="dxa" w:w="1169"/>
            <w:vAlign w:val="center"/>
          </w:tcPr>
          <w:p>
            <w:pPr>
              <w:jc w:val="center"/>
            </w:pPr>
            <w:r>
              <w:rPr>
                <w:sz w:val="15"/>
              </w:rPr>
              <w:t>否</w:t>
            </w:r>
          </w:p>
        </w:tc>
      </w:tr>
      <w:tr>
        <w:trPr>
          <w:cantSplit/>
        </w:trPr>
        <w:tc>
          <w:tcPr>
            <w:tcW w:type="dxa" w:w="2485"/>
            <w:vAlign w:val="center"/>
            <w:shd w:fill="F2F4F7"/>
          </w:tcPr>
          <w:p>
            <w:pPr>
              <w:jc w:val="left"/>
            </w:pPr>
            <w:r>
              <w:rPr>
                <w:sz w:val="15"/>
              </w:rPr>
              <w:t>GSE23130 LCM，I–IV 级</w:t>
            </w:r>
          </w:p>
        </w:tc>
        <w:tc>
          <w:tcPr>
            <w:tcW w:type="dxa" w:w="1169"/>
            <w:vAlign w:val="center"/>
            <w:shd w:fill="F2F4F7"/>
          </w:tcPr>
          <w:p>
            <w:pPr>
              <w:jc w:val="center"/>
            </w:pPr>
            <w:r>
              <w:rPr>
                <w:sz w:val="15"/>
              </w:rPr>
              <w:t>15</w:t>
            </w:r>
          </w:p>
        </w:tc>
        <w:tc>
          <w:tcPr>
            <w:tcW w:type="dxa" w:w="1169"/>
            <w:vAlign w:val="center"/>
            <w:shd w:fill="F2F4F7"/>
          </w:tcPr>
          <w:p>
            <w:pPr>
              <w:jc w:val="center"/>
            </w:pPr>
            <w:r>
              <w:rPr>
                <w:sz w:val="15"/>
              </w:rPr>
              <w:t>不适用</w:t>
            </w:r>
          </w:p>
        </w:tc>
        <w:tc>
          <w:tcPr>
            <w:tcW w:type="dxa" w:w="1169"/>
            <w:vAlign w:val="center"/>
            <w:shd w:fill="F2F4F7"/>
          </w:tcPr>
          <w:p>
            <w:pPr>
              <w:jc w:val="center"/>
            </w:pPr>
            <w:r>
              <w:rPr>
                <w:sz w:val="15"/>
              </w:rPr>
              <w:t>22107</w:t>
            </w:r>
          </w:p>
        </w:tc>
        <w:tc>
          <w:tcPr>
            <w:tcW w:type="dxa" w:w="1169"/>
            <w:vAlign w:val="center"/>
            <w:shd w:fill="F2F4F7"/>
          </w:tcPr>
          <w:p>
            <w:pPr>
              <w:jc w:val="center"/>
            </w:pPr>
            <w:r>
              <w:rPr>
                <w:sz w:val="15"/>
              </w:rPr>
              <w:t>55.0%</w:t>
            </w:r>
          </w:p>
        </w:tc>
        <w:tc>
          <w:tcPr>
            <w:tcW w:type="dxa" w:w="1316"/>
            <w:vAlign w:val="center"/>
            <w:shd w:fill="F2F4F7"/>
          </w:tcPr>
          <w:p>
            <w:pPr>
              <w:jc w:val="center"/>
            </w:pPr>
            <w:r>
              <w:rPr>
                <w:sz w:val="15"/>
              </w:rPr>
              <w:t>+0.0075</w:t>
            </w:r>
          </w:p>
        </w:tc>
        <w:tc>
          <w:tcPr>
            <w:tcW w:type="dxa" w:w="1169"/>
            <w:vAlign w:val="center"/>
            <w:shd w:fill="F2F4F7"/>
          </w:tcPr>
          <w:p>
            <w:pPr>
              <w:jc w:val="center"/>
            </w:pPr>
            <w:r>
              <w:rPr>
                <w:sz w:val="15"/>
              </w:rPr>
              <w:t>否</w:t>
            </w:r>
          </w:p>
        </w:tc>
      </w:tr>
      <w:tr>
        <w:trPr>
          <w:cantSplit/>
        </w:trPr>
        <w:tc>
          <w:tcPr>
            <w:tcW w:type="dxa" w:w="2485"/>
            <w:vAlign w:val="center"/>
          </w:tcPr>
          <w:p>
            <w:pPr>
              <w:jc w:val="left"/>
            </w:pPr>
            <w:r>
              <w:rPr>
                <w:sz w:val="15"/>
              </w:rPr>
              <w:t>GSE70362 AF，I–IV 级，仅分级</w:t>
            </w:r>
          </w:p>
        </w:tc>
        <w:tc>
          <w:tcPr>
            <w:tcW w:type="dxa" w:w="1169"/>
            <w:vAlign w:val="center"/>
          </w:tcPr>
          <w:p>
            <w:pPr>
              <w:jc w:val="center"/>
            </w:pPr>
            <w:r>
              <w:rPr>
                <w:sz w:val="15"/>
              </w:rPr>
              <w:t>20</w:t>
            </w:r>
          </w:p>
        </w:tc>
        <w:tc>
          <w:tcPr>
            <w:tcW w:type="dxa" w:w="1169"/>
            <w:vAlign w:val="center"/>
          </w:tcPr>
          <w:p>
            <w:pPr>
              <w:jc w:val="center"/>
            </w:pPr>
            <w:r>
              <w:rPr>
                <w:sz w:val="15"/>
              </w:rPr>
              <w:t>16</w:t>
            </w:r>
          </w:p>
        </w:tc>
        <w:tc>
          <w:tcPr>
            <w:tcW w:type="dxa" w:w="1169"/>
            <w:vAlign w:val="center"/>
          </w:tcPr>
          <w:p>
            <w:pPr>
              <w:jc w:val="center"/>
            </w:pPr>
            <w:r>
              <w:rPr>
                <w:sz w:val="15"/>
              </w:rPr>
              <w:t>18479</w:t>
            </w:r>
          </w:p>
        </w:tc>
        <w:tc>
          <w:tcPr>
            <w:tcW w:type="dxa" w:w="1169"/>
            <w:vAlign w:val="center"/>
          </w:tcPr>
          <w:p>
            <w:pPr>
              <w:jc w:val="center"/>
            </w:pPr>
            <w:r>
              <w:rPr>
                <w:sz w:val="15"/>
              </w:rPr>
              <w:t>43.4%</w:t>
            </w:r>
          </w:p>
        </w:tc>
        <w:tc>
          <w:tcPr>
            <w:tcW w:type="dxa" w:w="1316"/>
            <w:vAlign w:val="center"/>
          </w:tcPr>
          <w:p>
            <w:pPr>
              <w:jc w:val="center"/>
            </w:pPr>
            <w:r>
              <w:rPr>
                <w:sz w:val="15"/>
              </w:rPr>
              <w:t>-0.0084</w:t>
            </w:r>
          </w:p>
        </w:tc>
        <w:tc>
          <w:tcPr>
            <w:tcW w:type="dxa" w:w="1169"/>
            <w:vAlign w:val="center"/>
          </w:tcPr>
          <w:p>
            <w:pPr>
              <w:jc w:val="center"/>
            </w:pPr>
            <w:r>
              <w:rPr>
                <w:sz w:val="15"/>
              </w:rPr>
              <w:t>否</w:t>
            </w:r>
          </w:p>
        </w:tc>
      </w:tr>
      <w:tr>
        <w:trPr>
          <w:cantSplit/>
        </w:trPr>
        <w:tc>
          <w:tcPr>
            <w:tcW w:type="dxa" w:w="2485"/>
            <w:vAlign w:val="center"/>
            <w:shd w:fill="F2F4F7"/>
          </w:tcPr>
          <w:p>
            <w:pPr>
              <w:jc w:val="left"/>
            </w:pPr>
            <w:r>
              <w:rPr>
                <w:sz w:val="15"/>
              </w:rPr>
              <w:t>GSE23130 LCM，I–IV 级，仅分级</w:t>
            </w:r>
          </w:p>
        </w:tc>
        <w:tc>
          <w:tcPr>
            <w:tcW w:type="dxa" w:w="1169"/>
            <w:vAlign w:val="center"/>
            <w:shd w:fill="F2F4F7"/>
          </w:tcPr>
          <w:p>
            <w:pPr>
              <w:jc w:val="center"/>
            </w:pPr>
            <w:r>
              <w:rPr>
                <w:sz w:val="15"/>
              </w:rPr>
              <w:t>15</w:t>
            </w:r>
          </w:p>
        </w:tc>
        <w:tc>
          <w:tcPr>
            <w:tcW w:type="dxa" w:w="1169"/>
            <w:vAlign w:val="center"/>
            <w:shd w:fill="F2F4F7"/>
          </w:tcPr>
          <w:p>
            <w:pPr>
              <w:jc w:val="center"/>
            </w:pPr>
            <w:r>
              <w:rPr>
                <w:sz w:val="15"/>
              </w:rPr>
              <w:t>不适用</w:t>
            </w:r>
          </w:p>
        </w:tc>
        <w:tc>
          <w:tcPr>
            <w:tcW w:type="dxa" w:w="1169"/>
            <w:vAlign w:val="center"/>
            <w:shd w:fill="F2F4F7"/>
          </w:tcPr>
          <w:p>
            <w:pPr>
              <w:jc w:val="center"/>
            </w:pPr>
            <w:r>
              <w:rPr>
                <w:sz w:val="15"/>
              </w:rPr>
              <w:t>22107</w:t>
            </w:r>
          </w:p>
        </w:tc>
        <w:tc>
          <w:tcPr>
            <w:tcW w:type="dxa" w:w="1169"/>
            <w:vAlign w:val="center"/>
            <w:shd w:fill="F2F4F7"/>
          </w:tcPr>
          <w:p>
            <w:pPr>
              <w:jc w:val="center"/>
            </w:pPr>
            <w:r>
              <w:rPr>
                <w:sz w:val="15"/>
              </w:rPr>
              <w:t>51.6%</w:t>
            </w:r>
          </w:p>
        </w:tc>
        <w:tc>
          <w:tcPr>
            <w:tcW w:type="dxa" w:w="1316"/>
            <w:vAlign w:val="center"/>
            <w:shd w:fill="F2F4F7"/>
          </w:tcPr>
          <w:p>
            <w:pPr>
              <w:jc w:val="center"/>
            </w:pPr>
            <w:r>
              <w:rPr>
                <w:sz w:val="15"/>
              </w:rPr>
              <w:t>+0.0021</w:t>
            </w:r>
          </w:p>
        </w:tc>
        <w:tc>
          <w:tcPr>
            <w:tcW w:type="dxa" w:w="1169"/>
            <w:vAlign w:val="center"/>
            <w:shd w:fill="F2F4F7"/>
          </w:tcPr>
          <w:p>
            <w:pPr>
              <w:jc w:val="center"/>
            </w:pPr>
            <w:r>
              <w:rPr>
                <w:sz w:val="15"/>
              </w:rPr>
              <w:t>否</w:t>
            </w:r>
          </w:p>
        </w:tc>
      </w:tr>
    </w:tbl>
    <w:p/>
    <w:p>
      <w:r>
        <w:t>四个主要分析集均未显示全局漂移（表 1）。严格的 GSE70362 和 GSE23130 队列上调比例分别为 43.6% 和 55.0%，中位效应均在 0.01 log 单位以内。因此，剩余的队列间差异不能由矩阵整体载量差异解释。</w:t>
      </w:r>
    </w:p>
    <w:p>
      <w:r>
        <w:t>GSE23130 的供者数列显示为不可用，因为 series metadata 没有提供供者 ID。因此，其 15 个严格样本只能视为样本级测量，不能视为已经验证的独立供者。</w:t>
      </w:r>
    </w:p>
    <w:p>
      <w:r>
        <w:t>分级与处理方法的交叉表说明，为什么未限制的 GSE23130 分析不足以支持复制声明：V 级只存在于匀浆样本中。限制为激光捕获样本后，这一特定混杂被移除，留下 I–IV 级比较。</w:t>
      </w:r>
    </w:p>
    <w:p>
      <w:r>
        <w:t>其余交叉表显示的是部分不可识别，而不是完整的交叉设计。在严格 GSE23130 子集中，I 级只来自 CHTN 样本，IV 级只来自 surgical 样本。在 GSE70362 中，II 级只出现在 batch 1，而 batch 2 不含 III–IV 级。因此，校正模型被解释为混杂变量调整后的关联，而不是完全识别的因果分级效应。仅分级敏感性模型仍维持主要 ECM 跨队列一致率 23.3%（表 S2），并给出相似的方向估计，说明主要审计结论不依赖校正选择。</w:t>
      </w:r>
    </w:p>
    <w:p>
      <w:pPr>
        <w:pStyle w:val="Heading2"/>
        <w:keepNext/>
      </w:pPr>
      <w:r>
        <w:t>ECM 模块显著并不意味着基因级复制</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930"/>
        <w:gridCol w:w="1930"/>
        <w:gridCol w:w="1930"/>
        <w:gridCol w:w="1930"/>
        <w:gridCol w:w="1930"/>
      </w:tblGrid>
      <w:tr>
        <w:trPr>
          <w:cantSplit/>
          <w:tblHeader w:val="true"/>
        </w:trPr>
        <w:tc>
          <w:tcPr>
            <w:tcW w:type="dxa" w:w="2560"/>
            <w:vAlign w:val="center"/>
            <w:shd w:fill="334E68"/>
          </w:tcPr>
          <w:p>
            <w:pPr>
              <w:jc w:val="left"/>
            </w:pPr>
            <w:r>
              <w:rPr>
                <w:b/>
                <w:color w:val="FFFFFF"/>
                <w:sz w:val="18"/>
              </w:rPr>
              <w:t>比较</w:t>
            </w:r>
          </w:p>
        </w:tc>
        <w:tc>
          <w:tcPr>
            <w:tcW w:type="dxa" w:w="1969"/>
            <w:vAlign w:val="center"/>
            <w:shd w:fill="334E68"/>
          </w:tcPr>
          <w:p>
            <w:pPr>
              <w:jc w:val="center"/>
            </w:pPr>
            <w:r>
              <w:rPr>
                <w:b/>
                <w:color w:val="FFFFFF"/>
                <w:sz w:val="18"/>
              </w:rPr>
              <w:t>GSE70362 ECM 上调</w:t>
            </w:r>
          </w:p>
        </w:tc>
        <w:tc>
          <w:tcPr>
            <w:tcW w:type="dxa" w:w="1969"/>
            <w:vAlign w:val="center"/>
            <w:shd w:fill="334E68"/>
          </w:tcPr>
          <w:p>
            <w:pPr>
              <w:jc w:val="center"/>
            </w:pPr>
            <w:r>
              <w:rPr>
                <w:b/>
                <w:color w:val="FFFFFF"/>
                <w:sz w:val="18"/>
              </w:rPr>
              <w:t>GSE23130 ECM 上调</w:t>
            </w:r>
          </w:p>
        </w:tc>
        <w:tc>
          <w:tcPr>
            <w:tcW w:type="dxa" w:w="1575"/>
            <w:vAlign w:val="center"/>
            <w:shd w:fill="334E68"/>
          </w:tcPr>
          <w:p>
            <w:pPr>
              <w:jc w:val="center"/>
            </w:pPr>
            <w:r>
              <w:rPr>
                <w:b/>
                <w:color w:val="FFFFFF"/>
                <w:sz w:val="18"/>
              </w:rPr>
              <w:t>ECM 基因一致率</w:t>
            </w:r>
          </w:p>
        </w:tc>
        <w:tc>
          <w:tcPr>
            <w:tcW w:type="dxa" w:w="1575"/>
            <w:vAlign w:val="center"/>
            <w:shd w:fill="334E68"/>
          </w:tcPr>
          <w:p>
            <w:pPr>
              <w:jc w:val="center"/>
            </w:pPr>
            <w:r>
              <w:rPr>
                <w:b/>
                <w:color w:val="FFFFFF"/>
                <w:sz w:val="18"/>
              </w:rPr>
              <w:t>双侧符号检验 p</w:t>
            </w:r>
          </w:p>
        </w:tc>
      </w:tr>
      <w:tr>
        <w:trPr>
          <w:cantSplit/>
        </w:trPr>
        <w:tc>
          <w:tcPr>
            <w:tcW w:type="dxa" w:w="2560"/>
            <w:vAlign w:val="center"/>
          </w:tcPr>
          <w:p>
            <w:pPr>
              <w:jc w:val="left"/>
            </w:pPr>
            <w:r>
              <w:rPr>
                <w:sz w:val="18"/>
              </w:rPr>
              <w:t>全部可用 AF/LCM 样本</w:t>
            </w:r>
          </w:p>
        </w:tc>
        <w:tc>
          <w:tcPr>
            <w:tcW w:type="dxa" w:w="1969"/>
            <w:vAlign w:val="center"/>
          </w:tcPr>
          <w:p>
            <w:pPr>
              <w:jc w:val="center"/>
            </w:pPr>
            <w:r>
              <w:rPr>
                <w:sz w:val="18"/>
              </w:rPr>
              <w:t>46.7%</w:t>
            </w:r>
          </w:p>
        </w:tc>
        <w:tc>
          <w:tcPr>
            <w:tcW w:type="dxa" w:w="1969"/>
            <w:vAlign w:val="center"/>
          </w:tcPr>
          <w:p>
            <w:pPr>
              <w:jc w:val="center"/>
            </w:pPr>
            <w:r>
              <w:rPr>
                <w:sz w:val="18"/>
              </w:rPr>
              <w:t>87.1%</w:t>
            </w:r>
          </w:p>
        </w:tc>
        <w:tc>
          <w:tcPr>
            <w:tcW w:type="dxa" w:w="1575"/>
            <w:vAlign w:val="center"/>
          </w:tcPr>
          <w:p>
            <w:pPr>
              <w:jc w:val="center"/>
            </w:pPr>
            <w:r>
              <w:rPr>
                <w:sz w:val="18"/>
              </w:rPr>
              <w:t>40.0%</w:t>
            </w:r>
          </w:p>
        </w:tc>
        <w:tc>
          <w:tcPr>
            <w:tcW w:type="dxa" w:w="1575"/>
            <w:vAlign w:val="center"/>
          </w:tcPr>
          <w:p>
            <w:pPr>
              <w:jc w:val="center"/>
            </w:pPr>
            <w:r>
              <w:rPr>
                <w:sz w:val="18"/>
              </w:rPr>
              <w:t>0.3616</w:t>
            </w:r>
          </w:p>
        </w:tc>
      </w:tr>
      <w:tr>
        <w:trPr>
          <w:cantSplit/>
        </w:trPr>
        <w:tc>
          <w:tcPr>
            <w:tcW w:type="dxa" w:w="2560"/>
            <w:vAlign w:val="center"/>
            <w:shd w:fill="F2F4F7"/>
          </w:tcPr>
          <w:p>
            <w:pPr>
              <w:jc w:val="left"/>
            </w:pPr>
            <w:r>
              <w:rPr>
                <w:sz w:val="18"/>
              </w:rPr>
              <w:t>严格 I–IV 级 AF/LCM，校正模型</w:t>
            </w:r>
          </w:p>
        </w:tc>
        <w:tc>
          <w:tcPr>
            <w:tcW w:type="dxa" w:w="1969"/>
            <w:vAlign w:val="center"/>
            <w:shd w:fill="F2F4F7"/>
          </w:tcPr>
          <w:p>
            <w:pPr>
              <w:jc w:val="center"/>
            </w:pPr>
            <w:r>
              <w:rPr>
                <w:sz w:val="18"/>
              </w:rPr>
              <w:t>46.7%</w:t>
            </w:r>
          </w:p>
        </w:tc>
        <w:tc>
          <w:tcPr>
            <w:tcW w:type="dxa" w:w="1969"/>
            <w:vAlign w:val="center"/>
            <w:shd w:fill="F2F4F7"/>
          </w:tcPr>
          <w:p>
            <w:pPr>
              <w:jc w:val="center"/>
            </w:pPr>
            <w:r>
              <w:rPr>
                <w:sz w:val="18"/>
              </w:rPr>
              <w:t>77.4%</w:t>
            </w:r>
          </w:p>
        </w:tc>
        <w:tc>
          <w:tcPr>
            <w:tcW w:type="dxa" w:w="1575"/>
            <w:vAlign w:val="center"/>
            <w:shd w:fill="F2F4F7"/>
          </w:tcPr>
          <w:p>
            <w:pPr>
              <w:jc w:val="center"/>
            </w:pPr>
            <w:r>
              <w:rPr>
                <w:sz w:val="18"/>
              </w:rPr>
              <w:t>23.3%</w:t>
            </w:r>
          </w:p>
        </w:tc>
        <w:tc>
          <w:tcPr>
            <w:tcW w:type="dxa" w:w="1575"/>
            <w:vAlign w:val="center"/>
            <w:shd w:fill="F2F4F7"/>
          </w:tcPr>
          <w:p>
            <w:pPr>
              <w:jc w:val="center"/>
            </w:pPr>
            <w:r>
              <w:rPr>
                <w:sz w:val="18"/>
              </w:rPr>
              <w:t>0.0052</w:t>
            </w:r>
          </w:p>
        </w:tc>
      </w:tr>
      <w:tr>
        <w:trPr>
          <w:cantSplit/>
        </w:trPr>
        <w:tc>
          <w:tcPr>
            <w:tcW w:type="dxa" w:w="2560"/>
            <w:vAlign w:val="center"/>
          </w:tcPr>
          <w:p>
            <w:pPr>
              <w:jc w:val="left"/>
            </w:pPr>
            <w:r>
              <w:rPr>
                <w:sz w:val="18"/>
              </w:rPr>
              <w:t>严格 I–IV 级 AF/LCM，仅分级</w:t>
            </w:r>
          </w:p>
        </w:tc>
        <w:tc>
          <w:tcPr>
            <w:tcW w:type="dxa" w:w="1969"/>
            <w:vAlign w:val="center"/>
          </w:tcPr>
          <w:p>
            <w:pPr>
              <w:jc w:val="center"/>
            </w:pPr>
            <w:r>
              <w:rPr>
                <w:sz w:val="18"/>
              </w:rPr>
              <w:t>50.0%</w:t>
            </w:r>
          </w:p>
        </w:tc>
        <w:tc>
          <w:tcPr>
            <w:tcW w:type="dxa" w:w="1969"/>
            <w:vAlign w:val="center"/>
          </w:tcPr>
          <w:p>
            <w:pPr>
              <w:jc w:val="center"/>
            </w:pPr>
            <w:r>
              <w:rPr>
                <w:sz w:val="18"/>
              </w:rPr>
              <w:t>74.2%</w:t>
            </w:r>
          </w:p>
        </w:tc>
        <w:tc>
          <w:tcPr>
            <w:tcW w:type="dxa" w:w="1575"/>
            <w:vAlign w:val="center"/>
          </w:tcPr>
          <w:p>
            <w:pPr>
              <w:jc w:val="center"/>
            </w:pPr>
            <w:r>
              <w:rPr>
                <w:sz w:val="18"/>
              </w:rPr>
              <w:t>23.3%</w:t>
            </w:r>
          </w:p>
        </w:tc>
        <w:tc>
          <w:tcPr>
            <w:tcW w:type="dxa" w:w="1575"/>
            <w:vAlign w:val="center"/>
          </w:tcPr>
          <w:p>
            <w:pPr>
              <w:jc w:val="center"/>
            </w:pPr>
            <w:r>
              <w:rPr>
                <w:sz w:val="18"/>
              </w:rPr>
              <w:t>0.0052</w:t>
            </w:r>
          </w:p>
        </w:tc>
      </w:tr>
    </w:tbl>
    <w:p/>
    <w:p>
      <w:r>
        <w:t>在全样本比较中（表 2），ECM 模块在 GSE23130 中显著为正，87.1% 基因上调，p = 1.697661×10⁻⁵；在 GSE70362 中不存在，46.7% 上调，p = 0.7077。基因级一致率为 40.0%，没有证据表明其高于随机。</w:t>
      </w:r>
    </w:p>
    <w:p>
      <w:r>
        <w:t>严格 I–IV 级激光捕获比较保留了这一矛盾。GSE23130 仍然为正，77.4% 上调，p = 0.0017；GSE70362 在基因级仍不可复现。跨队列一致率为 23.3%，双侧精确符号检验 p = 0.0052。因此，同一模块在一个队列中是强结果，在另一个队列中却是非一致的方向匹配（图 2）。</w:t>
      </w:r>
    </w:p>
    <w:p>
      <w:r>
        <w:t>预设的最高均值探针规则得到 23.3% 的 ECM 一致率，双侧精确 p = 0.0052。探针折叠敏感性分析中，首个探针得到 30.0%，探针中位数得到 33.3%，100 次随机探针选择的一致率中位数为 36.7%（2.5–97.5%：23.3–48.4%）。没有任何规则超过 50%，但低于随机的显著性并不稳健（表 2，表 S23）。因此可辩护的结论是“未超过随机水平”，而不是存在统计显著的负一致。</w:t>
      </w:r>
    </w:p>
    <w:p>
      <w:r>
        <w:t>尺度不变的 rank-trend 分析同样不支持跨队列一致。未调整的基因级 Spearman trend 得到 33.3% ECM 一致率（p = 0.0987），按 batch 或 source 分层平均后得到 36.7%（p = 0.2005）。在分层 rank-trend 中，GSE23130 仍保持正向 ECM 信号（74.2% 上调，p = 0.0053），而 GSE70362 仍无方向性（53.3% 上调，p = 0.4278）。因此结果仍低于 50%，但没有显著低于随机的证据（表 S25）。</w:t>
      </w:r>
    </w:p>
    <w:p>
      <w:r>
        <w:t>内部 split-half 分析显示，两个严格数据集均具有中等程度的基因级可靠性，ECM 模块的中位 Spearman rho 分别为 0.37 和 0.41（表 S3）。这排除了 GSE23130 只是纯噪声的最简单解释。现有证据支持“未能建立跨队列基因级复制”，而不是“两个患者群体的生物学程序存在本质差异”。</w:t>
      </w:r>
    </w:p>
    <w:p>
      <w:r>
        <w:t>供者级敏感性分析保留了阴性结果（表 S7，图 5）。</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072"/>
        <w:gridCol w:w="1072"/>
        <w:gridCol w:w="1072"/>
        <w:gridCol w:w="1072"/>
        <w:gridCol w:w="1072"/>
        <w:gridCol w:w="1072"/>
        <w:gridCol w:w="1072"/>
        <w:gridCol w:w="1072"/>
        <w:gridCol w:w="1072"/>
      </w:tblGrid>
      <w:tr>
        <w:trPr>
          <w:cantSplit/>
          <w:tblHeader w:val="true"/>
        </w:trPr>
        <w:tc>
          <w:tcPr>
            <w:tcW w:type="dxa" w:w="1415"/>
            <w:vAlign w:val="center"/>
            <w:shd w:fill="334E68"/>
          </w:tcPr>
          <w:p>
            <w:pPr>
              <w:jc w:val="left"/>
            </w:pPr>
            <w:r>
              <w:rPr>
                <w:b/>
                <w:color w:val="FFFFFF"/>
                <w:sz w:val="13"/>
              </w:rPr>
              <w:t>敏感性模型</w:t>
            </w:r>
          </w:p>
        </w:tc>
        <w:tc>
          <w:tcPr>
            <w:tcW w:type="dxa" w:w="1029"/>
            <w:vAlign w:val="center"/>
            <w:shd w:fill="334E68"/>
          </w:tcPr>
          <w:p>
            <w:pPr>
              <w:jc w:val="center"/>
            </w:pPr>
            <w:r>
              <w:rPr>
                <w:b/>
                <w:color w:val="FFFFFF"/>
                <w:sz w:val="13"/>
              </w:rPr>
              <w:t>重复次数</w:t>
            </w:r>
          </w:p>
        </w:tc>
        <w:tc>
          <w:tcPr>
            <w:tcW w:type="dxa" w:w="1029"/>
            <w:vAlign w:val="center"/>
            <w:shd w:fill="334E68"/>
          </w:tcPr>
          <w:p>
            <w:pPr>
              <w:jc w:val="center"/>
            </w:pPr>
            <w:r>
              <w:rPr>
                <w:b/>
                <w:color w:val="FFFFFF"/>
                <w:sz w:val="13"/>
              </w:rPr>
              <w:t>上调比例</w:t>
            </w:r>
          </w:p>
        </w:tc>
        <w:tc>
          <w:tcPr>
            <w:tcW w:type="dxa" w:w="1029"/>
            <w:vAlign w:val="center"/>
            <w:shd w:fill="334E68"/>
          </w:tcPr>
          <w:p>
            <w:pPr>
              <w:jc w:val="center"/>
            </w:pPr>
            <w:r>
              <w:rPr>
                <w:b/>
                <w:color w:val="FFFFFF"/>
                <w:sz w:val="13"/>
              </w:rPr>
              <w:t>上调 2.5%</w:t>
            </w:r>
          </w:p>
        </w:tc>
        <w:tc>
          <w:tcPr>
            <w:tcW w:type="dxa" w:w="1029"/>
            <w:vAlign w:val="center"/>
            <w:shd w:fill="334E68"/>
          </w:tcPr>
          <w:p>
            <w:pPr>
              <w:jc w:val="center"/>
            </w:pPr>
            <w:r>
              <w:rPr>
                <w:b/>
                <w:color w:val="FFFFFF"/>
                <w:sz w:val="13"/>
              </w:rPr>
              <w:t>上调 97.5%</w:t>
            </w:r>
          </w:p>
        </w:tc>
        <w:tc>
          <w:tcPr>
            <w:tcW w:type="dxa" w:w="1029"/>
            <w:vAlign w:val="center"/>
            <w:shd w:fill="334E68"/>
          </w:tcPr>
          <w:p>
            <w:pPr>
              <w:jc w:val="center"/>
            </w:pPr>
            <w:r>
              <w:rPr>
                <w:b/>
                <w:color w:val="FFFFFF"/>
                <w:sz w:val="13"/>
              </w:rPr>
              <w:t>一致率</w:t>
            </w:r>
          </w:p>
        </w:tc>
        <w:tc>
          <w:tcPr>
            <w:tcW w:type="dxa" w:w="1029"/>
            <w:vAlign w:val="center"/>
            <w:shd w:fill="334E68"/>
          </w:tcPr>
          <w:p>
            <w:pPr>
              <w:jc w:val="center"/>
            </w:pPr>
            <w:r>
              <w:rPr>
                <w:b/>
                <w:color w:val="FFFFFF"/>
                <w:sz w:val="13"/>
              </w:rPr>
              <w:t>一致率 2.5%</w:t>
            </w:r>
          </w:p>
        </w:tc>
        <w:tc>
          <w:tcPr>
            <w:tcW w:type="dxa" w:w="1029"/>
            <w:vAlign w:val="center"/>
            <w:shd w:fill="334E68"/>
          </w:tcPr>
          <w:p>
            <w:pPr>
              <w:jc w:val="center"/>
            </w:pPr>
            <w:r>
              <w:rPr>
                <w:b/>
                <w:color w:val="FFFFFF"/>
                <w:sz w:val="13"/>
              </w:rPr>
              <w:t>一致率 97.5%</w:t>
            </w:r>
          </w:p>
        </w:tc>
        <w:tc>
          <w:tcPr>
            <w:tcW w:type="dxa" w:w="1029"/>
            <w:vAlign w:val="center"/>
            <w:shd w:fill="334E68"/>
          </w:tcPr>
          <w:p>
            <w:pPr>
              <w:jc w:val="center"/>
            </w:pPr>
            <w:r>
              <w:rPr>
                <w:b/>
                <w:color w:val="FFFFFF"/>
                <w:sz w:val="13"/>
              </w:rPr>
              <w:t>效应 rho</w:t>
            </w:r>
          </w:p>
        </w:tc>
      </w:tr>
      <w:tr>
        <w:trPr>
          <w:cantSplit/>
        </w:trPr>
        <w:tc>
          <w:tcPr>
            <w:tcW w:type="dxa" w:w="1415"/>
            <w:vAlign w:val="center"/>
          </w:tcPr>
          <w:p>
            <w:pPr>
              <w:jc w:val="left"/>
            </w:pPr>
            <w:r>
              <w:rPr>
                <w:sz w:val="13"/>
              </w:rPr>
              <w:t>供者 cluster bootstrap</w:t>
            </w:r>
          </w:p>
        </w:tc>
        <w:tc>
          <w:tcPr>
            <w:tcW w:type="dxa" w:w="1029"/>
            <w:vAlign w:val="center"/>
          </w:tcPr>
          <w:p>
            <w:pPr>
              <w:jc w:val="center"/>
            </w:pPr>
            <w:r>
              <w:rPr>
                <w:sz w:val="13"/>
              </w:rPr>
              <w:t>300</w:t>
            </w:r>
          </w:p>
        </w:tc>
        <w:tc>
          <w:tcPr>
            <w:tcW w:type="dxa" w:w="1029"/>
            <w:vAlign w:val="center"/>
          </w:tcPr>
          <w:p>
            <w:pPr>
              <w:jc w:val="center"/>
            </w:pPr>
            <w:r>
              <w:rPr>
                <w:sz w:val="13"/>
              </w:rPr>
              <w:t>50.0%</w:t>
            </w:r>
          </w:p>
        </w:tc>
        <w:tc>
          <w:tcPr>
            <w:tcW w:type="dxa" w:w="1029"/>
            <w:vAlign w:val="center"/>
          </w:tcPr>
          <w:p>
            <w:pPr>
              <w:jc w:val="center"/>
            </w:pPr>
            <w:r>
              <w:rPr>
                <w:sz w:val="13"/>
              </w:rPr>
              <w:t>36.7%</w:t>
            </w:r>
          </w:p>
        </w:tc>
        <w:tc>
          <w:tcPr>
            <w:tcW w:type="dxa" w:w="1029"/>
            <w:vAlign w:val="center"/>
          </w:tcPr>
          <w:p>
            <w:pPr>
              <w:jc w:val="center"/>
            </w:pPr>
            <w:r>
              <w:rPr>
                <w:sz w:val="13"/>
              </w:rPr>
              <w:t>60.0%</w:t>
            </w:r>
          </w:p>
        </w:tc>
        <w:tc>
          <w:tcPr>
            <w:tcW w:type="dxa" w:w="1029"/>
            <w:vAlign w:val="center"/>
          </w:tcPr>
          <w:p>
            <w:pPr>
              <w:jc w:val="center"/>
            </w:pPr>
            <w:r>
              <w:rPr>
                <w:sz w:val="13"/>
              </w:rPr>
              <w:t>33.3%</w:t>
            </w:r>
          </w:p>
        </w:tc>
        <w:tc>
          <w:tcPr>
            <w:tcW w:type="dxa" w:w="1029"/>
            <w:vAlign w:val="center"/>
          </w:tcPr>
          <w:p>
            <w:pPr>
              <w:jc w:val="center"/>
            </w:pPr>
            <w:r>
              <w:rPr>
                <w:sz w:val="13"/>
              </w:rPr>
              <w:t>20.0%</w:t>
            </w:r>
          </w:p>
        </w:tc>
        <w:tc>
          <w:tcPr>
            <w:tcW w:type="dxa" w:w="1029"/>
            <w:vAlign w:val="center"/>
          </w:tcPr>
          <w:p>
            <w:pPr>
              <w:jc w:val="center"/>
            </w:pPr>
            <w:r>
              <w:rPr>
                <w:sz w:val="13"/>
              </w:rPr>
              <w:t>53.3%</w:t>
            </w:r>
          </w:p>
        </w:tc>
        <w:tc>
          <w:tcPr>
            <w:tcW w:type="dxa" w:w="1029"/>
            <w:vAlign w:val="center"/>
          </w:tcPr>
          <w:p>
            <w:pPr>
              <w:jc w:val="center"/>
            </w:pPr>
            <w:r>
              <w:rPr>
                <w:sz w:val="13"/>
              </w:rPr>
              <w:t>-0.450</w:t>
            </w:r>
          </w:p>
        </w:tc>
      </w:tr>
      <w:tr>
        <w:trPr>
          <w:cantSplit/>
        </w:trPr>
        <w:tc>
          <w:tcPr>
            <w:tcW w:type="dxa" w:w="1415"/>
            <w:vAlign w:val="center"/>
            <w:shd w:fill="F2F4F7"/>
          </w:tcPr>
          <w:p>
            <w:pPr>
              <w:jc w:val="left"/>
            </w:pPr>
            <w:r>
              <w:rPr>
                <w:sz w:val="13"/>
              </w:rPr>
              <w:t>每供者一个样本</w:t>
            </w:r>
          </w:p>
        </w:tc>
        <w:tc>
          <w:tcPr>
            <w:tcW w:type="dxa" w:w="1029"/>
            <w:vAlign w:val="center"/>
            <w:shd w:fill="F2F4F7"/>
          </w:tcPr>
          <w:p>
            <w:pPr>
              <w:jc w:val="center"/>
            </w:pPr>
            <w:r>
              <w:rPr>
                <w:sz w:val="13"/>
              </w:rPr>
              <w:t>300</w:t>
            </w:r>
          </w:p>
        </w:tc>
        <w:tc>
          <w:tcPr>
            <w:tcW w:type="dxa" w:w="1029"/>
            <w:vAlign w:val="center"/>
            <w:shd w:fill="F2F4F7"/>
          </w:tcPr>
          <w:p>
            <w:pPr>
              <w:jc w:val="center"/>
            </w:pPr>
            <w:r>
              <w:rPr>
                <w:sz w:val="13"/>
              </w:rPr>
              <w:t>50.0%</w:t>
            </w:r>
          </w:p>
        </w:tc>
        <w:tc>
          <w:tcPr>
            <w:tcW w:type="dxa" w:w="1029"/>
            <w:vAlign w:val="center"/>
            <w:shd w:fill="F2F4F7"/>
          </w:tcPr>
          <w:p>
            <w:pPr>
              <w:jc w:val="center"/>
            </w:pPr>
            <w:r>
              <w:rPr>
                <w:sz w:val="13"/>
              </w:rPr>
              <w:t>46.7%</w:t>
            </w:r>
          </w:p>
        </w:tc>
        <w:tc>
          <w:tcPr>
            <w:tcW w:type="dxa" w:w="1029"/>
            <w:vAlign w:val="center"/>
            <w:shd w:fill="F2F4F7"/>
          </w:tcPr>
          <w:p>
            <w:pPr>
              <w:jc w:val="center"/>
            </w:pPr>
            <w:r>
              <w:rPr>
                <w:sz w:val="13"/>
              </w:rPr>
              <w:t>53.3%</w:t>
            </w:r>
          </w:p>
        </w:tc>
        <w:tc>
          <w:tcPr>
            <w:tcW w:type="dxa" w:w="1029"/>
            <w:vAlign w:val="center"/>
            <w:shd w:fill="F2F4F7"/>
          </w:tcPr>
          <w:p>
            <w:pPr>
              <w:jc w:val="center"/>
            </w:pPr>
            <w:r>
              <w:rPr>
                <w:sz w:val="13"/>
              </w:rPr>
              <w:t>30.0%</w:t>
            </w:r>
          </w:p>
        </w:tc>
        <w:tc>
          <w:tcPr>
            <w:tcW w:type="dxa" w:w="1029"/>
            <w:vAlign w:val="center"/>
            <w:shd w:fill="F2F4F7"/>
          </w:tcPr>
          <w:p>
            <w:pPr>
              <w:jc w:val="center"/>
            </w:pPr>
            <w:r>
              <w:rPr>
                <w:sz w:val="13"/>
              </w:rPr>
              <w:t>23.3%</w:t>
            </w:r>
          </w:p>
        </w:tc>
        <w:tc>
          <w:tcPr>
            <w:tcW w:type="dxa" w:w="1029"/>
            <w:vAlign w:val="center"/>
            <w:shd w:fill="F2F4F7"/>
          </w:tcPr>
          <w:p>
            <w:pPr>
              <w:jc w:val="center"/>
            </w:pPr>
            <w:r>
              <w:rPr>
                <w:sz w:val="13"/>
              </w:rPr>
              <w:t>33.3%</w:t>
            </w:r>
          </w:p>
        </w:tc>
        <w:tc>
          <w:tcPr>
            <w:tcW w:type="dxa" w:w="1029"/>
            <w:vAlign w:val="center"/>
            <w:shd w:fill="F2F4F7"/>
          </w:tcPr>
          <w:p>
            <w:pPr>
              <w:jc w:val="center"/>
            </w:pPr>
            <w:r>
              <w:rPr>
                <w:sz w:val="13"/>
              </w:rPr>
              <w:t>-0.498</w:t>
            </w:r>
          </w:p>
        </w:tc>
      </w:tr>
    </w:tbl>
    <w:p/>
    <w:p>
      <w:r>
        <w:t>ECM 模块的有效独立基因数较低，在 GSE70362 中为 6.8，在 GSE23130 中为 5.9（表 S9）。因此我们没有将普通二项符号检验作为最终检验。表达匹配零模型给出的主 ECM 比较经验下尾概率为 0.0046（表 S10）。</w:t>
      </w:r>
    </w:p>
    <w:p>
      <w:r>
        <w:t>可靠性衰减不能解释这一结果（表 S8，图 5）。在观察到的 split-half 可靠性下，零潜在相关时模拟一致率仍接近 50%，而观察值为 23.3%。观察到的 ECM 效应量相关为 -0.495，去衰减后为 -0.884。</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2412"/>
        <w:gridCol w:w="2412"/>
        <w:gridCol w:w="2412"/>
        <w:gridCol w:w="2412"/>
      </w:tblGrid>
      <w:tr>
        <w:trPr>
          <w:cantSplit/>
          <w:tblHeader w:val="true"/>
        </w:trPr>
        <w:tc>
          <w:tcPr>
            <w:tcW w:type="dxa" w:w="2412"/>
            <w:vAlign w:val="center"/>
            <w:shd w:fill="334E68"/>
          </w:tcPr>
          <w:p>
            <w:pPr>
              <w:jc w:val="left"/>
            </w:pPr>
            <w:r>
              <w:rPr>
                <w:b/>
                <w:color w:val="FFFFFF"/>
                <w:sz w:val="18"/>
              </w:rPr>
              <w:t>潜在相关</w:t>
            </w:r>
          </w:p>
        </w:tc>
        <w:tc>
          <w:tcPr>
            <w:tcW w:type="dxa" w:w="2412"/>
            <w:vAlign w:val="center"/>
            <w:shd w:fill="334E68"/>
          </w:tcPr>
          <w:p>
            <w:pPr>
              <w:jc w:val="center"/>
            </w:pPr>
            <w:r>
              <w:rPr>
                <w:b/>
                <w:color w:val="FFFFFF"/>
                <w:sz w:val="18"/>
              </w:rPr>
              <w:t>预期一致率</w:t>
            </w:r>
          </w:p>
        </w:tc>
        <w:tc>
          <w:tcPr>
            <w:tcW w:type="dxa" w:w="2412"/>
            <w:vAlign w:val="center"/>
            <w:shd w:fill="334E68"/>
          </w:tcPr>
          <w:p>
            <w:pPr>
              <w:jc w:val="center"/>
            </w:pPr>
            <w:r>
              <w:rPr>
                <w:b/>
                <w:color w:val="FFFFFF"/>
                <w:sz w:val="18"/>
              </w:rPr>
              <w:t>2.5%</w:t>
            </w:r>
          </w:p>
        </w:tc>
        <w:tc>
          <w:tcPr>
            <w:tcW w:type="dxa" w:w="2412"/>
            <w:vAlign w:val="center"/>
            <w:shd w:fill="334E68"/>
          </w:tcPr>
          <w:p>
            <w:pPr>
              <w:jc w:val="center"/>
            </w:pPr>
            <w:r>
              <w:rPr>
                <w:b/>
                <w:color w:val="FFFFFF"/>
                <w:sz w:val="18"/>
              </w:rPr>
              <w:t>97.5%</w:t>
            </w:r>
          </w:p>
        </w:tc>
      </w:tr>
      <w:tr>
        <w:trPr>
          <w:cantSplit/>
        </w:trPr>
        <w:tc>
          <w:tcPr>
            <w:tcW w:type="dxa" w:w="2412"/>
            <w:vAlign w:val="center"/>
          </w:tcPr>
          <w:p>
            <w:pPr>
              <w:jc w:val="left"/>
            </w:pPr>
            <w:r>
              <w:rPr>
                <w:sz w:val="18"/>
              </w:rPr>
              <w:t>0.0</w:t>
            </w:r>
          </w:p>
        </w:tc>
        <w:tc>
          <w:tcPr>
            <w:tcW w:type="dxa" w:w="2412"/>
            <w:vAlign w:val="center"/>
          </w:tcPr>
          <w:p>
            <w:pPr>
              <w:jc w:val="center"/>
            </w:pPr>
            <w:r>
              <w:rPr>
                <w:sz w:val="18"/>
              </w:rPr>
              <w:t>50.0%</w:t>
            </w:r>
          </w:p>
        </w:tc>
        <w:tc>
          <w:tcPr>
            <w:tcW w:type="dxa" w:w="2412"/>
            <w:vAlign w:val="center"/>
          </w:tcPr>
          <w:p>
            <w:pPr>
              <w:jc w:val="center"/>
            </w:pPr>
            <w:r>
              <w:rPr>
                <w:sz w:val="18"/>
              </w:rPr>
              <w:t>33.3%</w:t>
            </w:r>
          </w:p>
        </w:tc>
        <w:tc>
          <w:tcPr>
            <w:tcW w:type="dxa" w:w="2412"/>
            <w:vAlign w:val="center"/>
          </w:tcPr>
          <w:p>
            <w:pPr>
              <w:jc w:val="center"/>
            </w:pPr>
            <w:r>
              <w:rPr>
                <w:sz w:val="18"/>
              </w:rPr>
              <w:t>66.7%</w:t>
            </w:r>
          </w:p>
        </w:tc>
      </w:tr>
      <w:tr>
        <w:trPr>
          <w:cantSplit/>
        </w:trPr>
        <w:tc>
          <w:tcPr>
            <w:tcW w:type="dxa" w:w="2412"/>
            <w:vAlign w:val="center"/>
            <w:shd w:fill="F2F4F7"/>
          </w:tcPr>
          <w:p>
            <w:pPr>
              <w:jc w:val="left"/>
            </w:pPr>
            <w:r>
              <w:rPr>
                <w:sz w:val="18"/>
              </w:rPr>
              <w:t>0.2</w:t>
            </w:r>
          </w:p>
        </w:tc>
        <w:tc>
          <w:tcPr>
            <w:tcW w:type="dxa" w:w="2412"/>
            <w:vAlign w:val="center"/>
            <w:shd w:fill="F2F4F7"/>
          </w:tcPr>
          <w:p>
            <w:pPr>
              <w:jc w:val="center"/>
            </w:pPr>
            <w:r>
              <w:rPr>
                <w:sz w:val="18"/>
              </w:rPr>
              <w:t>53.5%</w:t>
            </w:r>
          </w:p>
        </w:tc>
        <w:tc>
          <w:tcPr>
            <w:tcW w:type="dxa" w:w="2412"/>
            <w:vAlign w:val="center"/>
            <w:shd w:fill="F2F4F7"/>
          </w:tcPr>
          <w:p>
            <w:pPr>
              <w:jc w:val="center"/>
            </w:pPr>
            <w:r>
              <w:rPr>
                <w:sz w:val="18"/>
              </w:rPr>
              <w:t>36.7%</w:t>
            </w:r>
          </w:p>
        </w:tc>
        <w:tc>
          <w:tcPr>
            <w:tcW w:type="dxa" w:w="2412"/>
            <w:vAlign w:val="center"/>
            <w:shd w:fill="F2F4F7"/>
          </w:tcPr>
          <w:p>
            <w:pPr>
              <w:jc w:val="center"/>
            </w:pPr>
            <w:r>
              <w:rPr>
                <w:sz w:val="18"/>
              </w:rPr>
              <w:t>70.0%</w:t>
            </w:r>
          </w:p>
        </w:tc>
      </w:tr>
      <w:tr>
        <w:trPr>
          <w:cantSplit/>
        </w:trPr>
        <w:tc>
          <w:tcPr>
            <w:tcW w:type="dxa" w:w="2412"/>
            <w:vAlign w:val="center"/>
          </w:tcPr>
          <w:p>
            <w:pPr>
              <w:jc w:val="left"/>
            </w:pPr>
            <w:r>
              <w:rPr>
                <w:sz w:val="18"/>
              </w:rPr>
              <w:t>0.4</w:t>
            </w:r>
          </w:p>
        </w:tc>
        <w:tc>
          <w:tcPr>
            <w:tcW w:type="dxa" w:w="2412"/>
            <w:vAlign w:val="center"/>
          </w:tcPr>
          <w:p>
            <w:pPr>
              <w:jc w:val="center"/>
            </w:pPr>
            <w:r>
              <w:rPr>
                <w:sz w:val="18"/>
              </w:rPr>
              <w:t>57.1%</w:t>
            </w:r>
          </w:p>
        </w:tc>
        <w:tc>
          <w:tcPr>
            <w:tcW w:type="dxa" w:w="2412"/>
            <w:vAlign w:val="center"/>
          </w:tcPr>
          <w:p>
            <w:pPr>
              <w:jc w:val="center"/>
            </w:pPr>
            <w:r>
              <w:rPr>
                <w:sz w:val="18"/>
              </w:rPr>
              <w:t>40.0%</w:t>
            </w:r>
          </w:p>
        </w:tc>
        <w:tc>
          <w:tcPr>
            <w:tcW w:type="dxa" w:w="2412"/>
            <w:vAlign w:val="center"/>
          </w:tcPr>
          <w:p>
            <w:pPr>
              <w:jc w:val="center"/>
            </w:pPr>
            <w:r>
              <w:rPr>
                <w:sz w:val="18"/>
              </w:rPr>
              <w:t>73.3%</w:t>
            </w:r>
          </w:p>
        </w:tc>
      </w:tr>
      <w:tr>
        <w:trPr>
          <w:cantSplit/>
        </w:trPr>
        <w:tc>
          <w:tcPr>
            <w:tcW w:type="dxa" w:w="2412"/>
            <w:vAlign w:val="center"/>
            <w:shd w:fill="F2F4F7"/>
          </w:tcPr>
          <w:p>
            <w:pPr>
              <w:jc w:val="left"/>
            </w:pPr>
            <w:r>
              <w:rPr>
                <w:sz w:val="18"/>
              </w:rPr>
              <w:t>0.6</w:t>
            </w:r>
          </w:p>
        </w:tc>
        <w:tc>
          <w:tcPr>
            <w:tcW w:type="dxa" w:w="2412"/>
            <w:vAlign w:val="center"/>
            <w:shd w:fill="F2F4F7"/>
          </w:tcPr>
          <w:p>
            <w:pPr>
              <w:jc w:val="center"/>
            </w:pPr>
            <w:r>
              <w:rPr>
                <w:sz w:val="18"/>
              </w:rPr>
              <w:t>60.8%</w:t>
            </w:r>
          </w:p>
        </w:tc>
        <w:tc>
          <w:tcPr>
            <w:tcW w:type="dxa" w:w="2412"/>
            <w:vAlign w:val="center"/>
            <w:shd w:fill="F2F4F7"/>
          </w:tcPr>
          <w:p>
            <w:pPr>
              <w:jc w:val="center"/>
            </w:pPr>
            <w:r>
              <w:rPr>
                <w:sz w:val="18"/>
              </w:rPr>
              <w:t>43.3%</w:t>
            </w:r>
          </w:p>
        </w:tc>
        <w:tc>
          <w:tcPr>
            <w:tcW w:type="dxa" w:w="2412"/>
            <w:vAlign w:val="center"/>
            <w:shd w:fill="F2F4F7"/>
          </w:tcPr>
          <w:p>
            <w:pPr>
              <w:jc w:val="center"/>
            </w:pPr>
            <w:r>
              <w:rPr>
                <w:sz w:val="18"/>
              </w:rPr>
              <w:t>76.7%</w:t>
            </w:r>
          </w:p>
        </w:tc>
      </w:tr>
      <w:tr>
        <w:trPr>
          <w:cantSplit/>
        </w:trPr>
        <w:tc>
          <w:tcPr>
            <w:tcW w:type="dxa" w:w="2412"/>
            <w:vAlign w:val="center"/>
          </w:tcPr>
          <w:p>
            <w:pPr>
              <w:jc w:val="left"/>
            </w:pPr>
            <w:r>
              <w:rPr>
                <w:sz w:val="18"/>
              </w:rPr>
              <w:t>0.8</w:t>
            </w:r>
          </w:p>
        </w:tc>
        <w:tc>
          <w:tcPr>
            <w:tcW w:type="dxa" w:w="2412"/>
            <w:vAlign w:val="center"/>
          </w:tcPr>
          <w:p>
            <w:pPr>
              <w:jc w:val="center"/>
            </w:pPr>
            <w:r>
              <w:rPr>
                <w:sz w:val="18"/>
              </w:rPr>
              <w:t>64.6%</w:t>
            </w:r>
          </w:p>
        </w:tc>
        <w:tc>
          <w:tcPr>
            <w:tcW w:type="dxa" w:w="2412"/>
            <w:vAlign w:val="center"/>
          </w:tcPr>
          <w:p>
            <w:pPr>
              <w:jc w:val="center"/>
            </w:pPr>
            <w:r>
              <w:rPr>
                <w:sz w:val="18"/>
              </w:rPr>
              <w:t>46.7%</w:t>
            </w:r>
          </w:p>
        </w:tc>
        <w:tc>
          <w:tcPr>
            <w:tcW w:type="dxa" w:w="2412"/>
            <w:vAlign w:val="center"/>
          </w:tcPr>
          <w:p>
            <w:pPr>
              <w:jc w:val="center"/>
            </w:pPr>
            <w:r>
              <w:rPr>
                <w:sz w:val="18"/>
              </w:rPr>
              <w:t>80.0%</w:t>
            </w:r>
          </w:p>
        </w:tc>
      </w:tr>
    </w:tbl>
    <w:p/>
    <w:p>
      <w:r>
        <w:t>结果并不只出现在未加权符号指标中（表 S12）。</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4824"/>
        <w:gridCol w:w="4824"/>
      </w:tblGrid>
      <w:tr>
        <w:trPr>
          <w:cantSplit/>
          <w:tblHeader w:val="true"/>
        </w:trPr>
        <w:tc>
          <w:tcPr>
            <w:tcW w:type="dxa" w:w="5789"/>
            <w:vAlign w:val="center"/>
            <w:shd w:fill="334E68"/>
          </w:tcPr>
          <w:p>
            <w:pPr>
              <w:jc w:val="left"/>
            </w:pPr>
            <w:r>
              <w:rPr>
                <w:b/>
                <w:color w:val="FFFFFF"/>
                <w:sz w:val="18"/>
              </w:rPr>
              <w:t>指标</w:t>
            </w:r>
          </w:p>
        </w:tc>
        <w:tc>
          <w:tcPr>
            <w:tcW w:type="dxa" w:w="3859"/>
            <w:vAlign w:val="center"/>
            <w:shd w:fill="334E68"/>
          </w:tcPr>
          <w:p>
            <w:pPr>
              <w:jc w:val="center"/>
            </w:pPr>
            <w:r>
              <w:rPr>
                <w:b/>
                <w:color w:val="FFFFFF"/>
                <w:sz w:val="18"/>
              </w:rPr>
              <w:t>数值</w:t>
            </w:r>
          </w:p>
        </w:tc>
      </w:tr>
      <w:tr>
        <w:trPr>
          <w:cantSplit/>
        </w:trPr>
        <w:tc>
          <w:tcPr>
            <w:tcW w:type="dxa" w:w="5789"/>
            <w:vAlign w:val="center"/>
          </w:tcPr>
          <w:p>
            <w:pPr>
              <w:jc w:val="left"/>
            </w:pPr>
            <w:r>
              <w:rPr>
                <w:sz w:val="18"/>
              </w:rPr>
              <w:t>未加权符号一致率</w:t>
            </w:r>
          </w:p>
        </w:tc>
        <w:tc>
          <w:tcPr>
            <w:tcW w:type="dxa" w:w="3859"/>
            <w:vAlign w:val="center"/>
          </w:tcPr>
          <w:p>
            <w:pPr>
              <w:jc w:val="center"/>
            </w:pPr>
            <w:r>
              <w:rPr>
                <w:sz w:val="18"/>
              </w:rPr>
              <w:t>23.3%</w:t>
            </w:r>
          </w:p>
        </w:tc>
      </w:tr>
      <w:tr>
        <w:trPr>
          <w:cantSplit/>
        </w:trPr>
        <w:tc>
          <w:tcPr>
            <w:tcW w:type="dxa" w:w="5789"/>
            <w:vAlign w:val="center"/>
            <w:shd w:fill="F2F4F7"/>
          </w:tcPr>
          <w:p>
            <w:pPr>
              <w:jc w:val="left"/>
            </w:pPr>
            <w:r>
              <w:rPr>
                <w:sz w:val="18"/>
              </w:rPr>
              <w:t>效应量加权一致率</w:t>
            </w:r>
          </w:p>
        </w:tc>
        <w:tc>
          <w:tcPr>
            <w:tcW w:type="dxa" w:w="3859"/>
            <w:vAlign w:val="center"/>
            <w:shd w:fill="F2F4F7"/>
          </w:tcPr>
          <w:p>
            <w:pPr>
              <w:jc w:val="center"/>
            </w:pPr>
            <w:r>
              <w:rPr>
                <w:sz w:val="18"/>
              </w:rPr>
              <w:t>24.2%</w:t>
            </w:r>
          </w:p>
        </w:tc>
      </w:tr>
      <w:tr>
        <w:trPr>
          <w:cantSplit/>
        </w:trPr>
        <w:tc>
          <w:tcPr>
            <w:tcW w:type="dxa" w:w="5789"/>
            <w:vAlign w:val="center"/>
          </w:tcPr>
          <w:p>
            <w:pPr>
              <w:jc w:val="left"/>
            </w:pPr>
            <w:r>
              <w:rPr>
                <w:sz w:val="18"/>
              </w:rPr>
              <w:t>前半强效应基因一致率</w:t>
            </w:r>
          </w:p>
        </w:tc>
        <w:tc>
          <w:tcPr>
            <w:tcW w:type="dxa" w:w="3859"/>
            <w:vAlign w:val="center"/>
          </w:tcPr>
          <w:p>
            <w:pPr>
              <w:jc w:val="center"/>
            </w:pPr>
            <w:r>
              <w:rPr>
                <w:sz w:val="18"/>
              </w:rPr>
              <w:t>26.7%</w:t>
            </w:r>
          </w:p>
        </w:tc>
      </w:tr>
      <w:tr>
        <w:trPr>
          <w:cantSplit/>
        </w:trPr>
        <w:tc>
          <w:tcPr>
            <w:tcW w:type="dxa" w:w="5789"/>
            <w:vAlign w:val="center"/>
            <w:shd w:fill="F2F4F7"/>
          </w:tcPr>
          <w:p>
            <w:pPr>
              <w:jc w:val="left"/>
            </w:pPr>
            <w:r>
              <w:rPr>
                <w:sz w:val="18"/>
              </w:rPr>
              <w:t>效应量 Spearman rho</w:t>
            </w:r>
          </w:p>
        </w:tc>
        <w:tc>
          <w:tcPr>
            <w:tcW w:type="dxa" w:w="3859"/>
            <w:vAlign w:val="center"/>
            <w:shd w:fill="F2F4F7"/>
          </w:tcPr>
          <w:p>
            <w:pPr>
              <w:jc w:val="center"/>
            </w:pPr>
            <w:r>
              <w:rPr>
                <w:sz w:val="18"/>
              </w:rPr>
              <w:t>-0.495</w:t>
            </w:r>
          </w:p>
        </w:tc>
      </w:tr>
    </w:tbl>
    <w:p/>
    <w:p>
      <w:r>
        <w:t>队列内部 cross-half 分析提供了阳性对照（表 S11，图 S1）。同一队列的两个独立半队列使用相同模型分析，并通过相同一致率指标比较。</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608"/>
        <w:gridCol w:w="1608"/>
        <w:gridCol w:w="1608"/>
        <w:gridCol w:w="1608"/>
        <w:gridCol w:w="1608"/>
        <w:gridCol w:w="1608"/>
      </w:tblGrid>
      <w:tr>
        <w:trPr>
          <w:cantSplit/>
          <w:tblHeader w:val="true"/>
        </w:trPr>
        <w:tc>
          <w:tcPr>
            <w:tcW w:type="dxa" w:w="2994"/>
            <w:vAlign w:val="center"/>
            <w:shd w:fill="334E68"/>
          </w:tcPr>
          <w:p>
            <w:pPr>
              <w:jc w:val="left"/>
            </w:pPr>
            <w:r>
              <w:rPr>
                <w:b/>
                <w:color w:val="FFFFFF"/>
                <w:sz w:val="16"/>
              </w:rPr>
              <w:t>队列</w:t>
            </w:r>
          </w:p>
        </w:tc>
        <w:tc>
          <w:tcPr>
            <w:tcW w:type="dxa" w:w="1331"/>
            <w:vAlign w:val="center"/>
            <w:shd w:fill="334E68"/>
          </w:tcPr>
          <w:p>
            <w:pPr>
              <w:jc w:val="center"/>
            </w:pPr>
            <w:r>
              <w:rPr>
                <w:b/>
                <w:color w:val="FFFFFF"/>
                <w:sz w:val="16"/>
              </w:rPr>
              <w:t>重复次数</w:t>
            </w:r>
          </w:p>
        </w:tc>
        <w:tc>
          <w:tcPr>
            <w:tcW w:type="dxa" w:w="1331"/>
            <w:vAlign w:val="center"/>
            <w:shd w:fill="334E68"/>
          </w:tcPr>
          <w:p>
            <w:pPr>
              <w:jc w:val="center"/>
            </w:pPr>
            <w:r>
              <w:rPr>
                <w:b/>
                <w:color w:val="FFFFFF"/>
                <w:sz w:val="16"/>
              </w:rPr>
              <w:t>一致率</w:t>
            </w:r>
          </w:p>
        </w:tc>
        <w:tc>
          <w:tcPr>
            <w:tcW w:type="dxa" w:w="1331"/>
            <w:vAlign w:val="center"/>
            <w:shd w:fill="334E68"/>
          </w:tcPr>
          <w:p>
            <w:pPr>
              <w:jc w:val="center"/>
            </w:pPr>
            <w:r>
              <w:rPr>
                <w:b/>
                <w:color w:val="FFFFFF"/>
                <w:sz w:val="16"/>
              </w:rPr>
              <w:t>2.5%</w:t>
            </w:r>
          </w:p>
        </w:tc>
        <w:tc>
          <w:tcPr>
            <w:tcW w:type="dxa" w:w="1331"/>
            <w:vAlign w:val="center"/>
            <w:shd w:fill="334E68"/>
          </w:tcPr>
          <w:p>
            <w:pPr>
              <w:jc w:val="center"/>
            </w:pPr>
            <w:r>
              <w:rPr>
                <w:b/>
                <w:color w:val="FFFFFF"/>
                <w:sz w:val="16"/>
              </w:rPr>
              <w:t>97.5%</w:t>
            </w:r>
          </w:p>
        </w:tc>
        <w:tc>
          <w:tcPr>
            <w:tcW w:type="dxa" w:w="1331"/>
            <w:vAlign w:val="center"/>
            <w:shd w:fill="334E68"/>
          </w:tcPr>
          <w:p>
            <w:pPr>
              <w:jc w:val="center"/>
            </w:pPr>
            <w:r>
              <w:rPr>
                <w:b/>
                <w:color w:val="FFFFFF"/>
                <w:sz w:val="16"/>
              </w:rPr>
              <w:t>效应 rho</w:t>
            </w:r>
          </w:p>
        </w:tc>
      </w:tr>
      <w:tr>
        <w:trPr>
          <w:cantSplit/>
        </w:trPr>
        <w:tc>
          <w:tcPr>
            <w:tcW w:type="dxa" w:w="2994"/>
            <w:vAlign w:val="center"/>
          </w:tcPr>
          <w:p>
            <w:pPr>
              <w:jc w:val="left"/>
            </w:pPr>
            <w:r>
              <w:rPr>
                <w:sz w:val="16"/>
              </w:rPr>
              <w:t>GSE70362_AF_I_IV</w:t>
            </w:r>
          </w:p>
        </w:tc>
        <w:tc>
          <w:tcPr>
            <w:tcW w:type="dxa" w:w="1331"/>
            <w:vAlign w:val="center"/>
          </w:tcPr>
          <w:p>
            <w:pPr>
              <w:jc w:val="center"/>
            </w:pPr>
            <w:r>
              <w:rPr>
                <w:sz w:val="16"/>
              </w:rPr>
              <w:t>300</w:t>
            </w:r>
          </w:p>
        </w:tc>
        <w:tc>
          <w:tcPr>
            <w:tcW w:type="dxa" w:w="1331"/>
            <w:vAlign w:val="center"/>
          </w:tcPr>
          <w:p>
            <w:pPr>
              <w:jc w:val="center"/>
            </w:pPr>
            <w:r>
              <w:rPr>
                <w:sz w:val="16"/>
              </w:rPr>
              <w:t>63.3%</w:t>
            </w:r>
          </w:p>
        </w:tc>
        <w:tc>
          <w:tcPr>
            <w:tcW w:type="dxa" w:w="1331"/>
            <w:vAlign w:val="center"/>
          </w:tcPr>
          <w:p>
            <w:pPr>
              <w:jc w:val="center"/>
            </w:pPr>
            <w:r>
              <w:rPr>
                <w:sz w:val="16"/>
              </w:rPr>
              <w:t>46.7%</w:t>
            </w:r>
          </w:p>
        </w:tc>
        <w:tc>
          <w:tcPr>
            <w:tcW w:type="dxa" w:w="1331"/>
            <w:vAlign w:val="center"/>
          </w:tcPr>
          <w:p>
            <w:pPr>
              <w:jc w:val="center"/>
            </w:pPr>
            <w:r>
              <w:rPr>
                <w:sz w:val="16"/>
              </w:rPr>
              <w:t>80.0%</w:t>
            </w:r>
          </w:p>
        </w:tc>
        <w:tc>
          <w:tcPr>
            <w:tcW w:type="dxa" w:w="1331"/>
            <w:vAlign w:val="center"/>
          </w:tcPr>
          <w:p>
            <w:pPr>
              <w:jc w:val="center"/>
            </w:pPr>
            <w:r>
              <w:rPr>
                <w:sz w:val="16"/>
              </w:rPr>
              <w:t>0.365</w:t>
            </w:r>
          </w:p>
        </w:tc>
      </w:tr>
      <w:tr>
        <w:trPr>
          <w:cantSplit/>
        </w:trPr>
        <w:tc>
          <w:tcPr>
            <w:tcW w:type="dxa" w:w="2994"/>
            <w:vAlign w:val="center"/>
            <w:shd w:fill="F2F4F7"/>
          </w:tcPr>
          <w:p>
            <w:pPr>
              <w:jc w:val="left"/>
            </w:pPr>
            <w:r>
              <w:rPr>
                <w:sz w:val="16"/>
              </w:rPr>
              <w:t>GSE23130_LCM_all</w:t>
            </w:r>
          </w:p>
        </w:tc>
        <w:tc>
          <w:tcPr>
            <w:tcW w:type="dxa" w:w="1331"/>
            <w:vAlign w:val="center"/>
            <w:shd w:fill="F2F4F7"/>
          </w:tcPr>
          <w:p>
            <w:pPr>
              <w:jc w:val="center"/>
            </w:pPr>
            <w:r>
              <w:rPr>
                <w:sz w:val="16"/>
              </w:rPr>
              <w:t>300</w:t>
            </w:r>
          </w:p>
        </w:tc>
        <w:tc>
          <w:tcPr>
            <w:tcW w:type="dxa" w:w="1331"/>
            <w:vAlign w:val="center"/>
            <w:shd w:fill="F2F4F7"/>
          </w:tcPr>
          <w:p>
            <w:pPr>
              <w:jc w:val="center"/>
            </w:pPr>
            <w:r>
              <w:rPr>
                <w:sz w:val="16"/>
              </w:rPr>
              <w:t>64.5%</w:t>
            </w:r>
          </w:p>
        </w:tc>
        <w:tc>
          <w:tcPr>
            <w:tcW w:type="dxa" w:w="1331"/>
            <w:vAlign w:val="center"/>
            <w:shd w:fill="F2F4F7"/>
          </w:tcPr>
          <w:p>
            <w:pPr>
              <w:jc w:val="center"/>
            </w:pPr>
            <w:r>
              <w:rPr>
                <w:sz w:val="16"/>
              </w:rPr>
              <w:t>38.7%</w:t>
            </w:r>
          </w:p>
        </w:tc>
        <w:tc>
          <w:tcPr>
            <w:tcW w:type="dxa" w:w="1331"/>
            <w:vAlign w:val="center"/>
            <w:shd w:fill="F2F4F7"/>
          </w:tcPr>
          <w:p>
            <w:pPr>
              <w:jc w:val="center"/>
            </w:pPr>
            <w:r>
              <w:rPr>
                <w:sz w:val="16"/>
              </w:rPr>
              <w:t>77.4%</w:t>
            </w:r>
          </w:p>
        </w:tc>
        <w:tc>
          <w:tcPr>
            <w:tcW w:type="dxa" w:w="1331"/>
            <w:vAlign w:val="center"/>
            <w:shd w:fill="F2F4F7"/>
          </w:tcPr>
          <w:p>
            <w:pPr>
              <w:jc w:val="center"/>
            </w:pPr>
            <w:r>
              <w:rPr>
                <w:sz w:val="16"/>
              </w:rPr>
              <w:t>0.380</w:t>
            </w:r>
          </w:p>
        </w:tc>
      </w:tr>
    </w:tbl>
    <w:p/>
    <w:p>
      <w:r>
        <w:t>供者级 ECM 模块评分也朝相反方向变化（表 S14）：</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3216"/>
        <w:gridCol w:w="3216"/>
        <w:gridCol w:w="3216"/>
      </w:tblGrid>
      <w:tr>
        <w:trPr>
          <w:cantSplit/>
          <w:tblHeader w:val="true"/>
        </w:trPr>
        <w:tc>
          <w:tcPr>
            <w:tcW w:type="dxa" w:w="4962"/>
            <w:vAlign w:val="center"/>
            <w:shd w:fill="334E68"/>
          </w:tcPr>
          <w:p>
            <w:pPr>
              <w:jc w:val="left"/>
            </w:pPr>
            <w:r>
              <w:rPr>
                <w:b/>
                <w:color w:val="FFFFFF"/>
                <w:sz w:val="18"/>
              </w:rPr>
              <w:t>队列</w:t>
            </w:r>
          </w:p>
        </w:tc>
        <w:tc>
          <w:tcPr>
            <w:tcW w:type="dxa" w:w="2205"/>
            <w:vAlign w:val="center"/>
            <w:shd w:fill="334E68"/>
          </w:tcPr>
          <w:p>
            <w:pPr>
              <w:jc w:val="center"/>
            </w:pPr>
            <w:r>
              <w:rPr>
                <w:b/>
                <w:color w:val="FFFFFF"/>
                <w:sz w:val="18"/>
              </w:rPr>
              <w:t>基因数</w:t>
            </w:r>
          </w:p>
        </w:tc>
        <w:tc>
          <w:tcPr>
            <w:tcW w:type="dxa" w:w="2481"/>
            <w:vAlign w:val="center"/>
            <w:shd w:fill="334E68"/>
          </w:tcPr>
          <w:p>
            <w:pPr>
              <w:jc w:val="center"/>
            </w:pPr>
            <w:r>
              <w:rPr>
                <w:b/>
                <w:color w:val="FFFFFF"/>
                <w:sz w:val="18"/>
              </w:rPr>
              <w:t>评分斜率</w:t>
            </w:r>
          </w:p>
        </w:tc>
      </w:tr>
      <w:tr>
        <w:trPr>
          <w:cantSplit/>
        </w:trPr>
        <w:tc>
          <w:tcPr>
            <w:tcW w:type="dxa" w:w="4962"/>
            <w:vAlign w:val="center"/>
          </w:tcPr>
          <w:p>
            <w:pPr>
              <w:jc w:val="left"/>
            </w:pPr>
            <w:r>
              <w:rPr>
                <w:sz w:val="18"/>
              </w:rPr>
              <w:t>GSE70362_AF_I_IV</w:t>
            </w:r>
          </w:p>
        </w:tc>
        <w:tc>
          <w:tcPr>
            <w:tcW w:type="dxa" w:w="2205"/>
            <w:vAlign w:val="center"/>
          </w:tcPr>
          <w:p>
            <w:pPr>
              <w:jc w:val="center"/>
            </w:pPr>
            <w:r>
              <w:rPr>
                <w:sz w:val="18"/>
              </w:rPr>
              <w:t>30</w:t>
            </w:r>
          </w:p>
        </w:tc>
        <w:tc>
          <w:tcPr>
            <w:tcW w:type="dxa" w:w="2481"/>
            <w:vAlign w:val="center"/>
          </w:tcPr>
          <w:p>
            <w:pPr>
              <w:jc w:val="center"/>
            </w:pPr>
            <w:r>
              <w:rPr>
                <w:sz w:val="18"/>
              </w:rPr>
              <w:t>-0.0185</w:t>
            </w:r>
          </w:p>
        </w:tc>
      </w:tr>
      <w:tr>
        <w:trPr>
          <w:cantSplit/>
        </w:trPr>
        <w:tc>
          <w:tcPr>
            <w:tcW w:type="dxa" w:w="4962"/>
            <w:vAlign w:val="center"/>
            <w:shd w:fill="F2F4F7"/>
          </w:tcPr>
          <w:p>
            <w:pPr>
              <w:jc w:val="left"/>
            </w:pPr>
            <w:r>
              <w:rPr>
                <w:sz w:val="18"/>
              </w:rPr>
              <w:t>GSE23130_LCM_all</w:t>
            </w:r>
          </w:p>
        </w:tc>
        <w:tc>
          <w:tcPr>
            <w:tcW w:type="dxa" w:w="2205"/>
            <w:vAlign w:val="center"/>
            <w:shd w:fill="F2F4F7"/>
          </w:tcPr>
          <w:p>
            <w:pPr>
              <w:jc w:val="center"/>
            </w:pPr>
            <w:r>
              <w:rPr>
                <w:sz w:val="18"/>
              </w:rPr>
              <w:t>31</w:t>
            </w:r>
          </w:p>
        </w:tc>
        <w:tc>
          <w:tcPr>
            <w:tcW w:type="dxa" w:w="2481"/>
            <w:vAlign w:val="center"/>
            <w:shd w:fill="F2F4F7"/>
          </w:tcPr>
          <w:p>
            <w:pPr>
              <w:jc w:val="center"/>
            </w:pPr>
            <w:r>
              <w:rPr>
                <w:sz w:val="18"/>
              </w:rPr>
              <w:t>+0.1729</w:t>
            </w:r>
          </w:p>
        </w:tc>
      </w:tr>
    </w:tbl>
    <w:p/>
    <w:p>
      <w:r>
        <w:t>Power 校准显示了基因级符号检验的分辨率限制（表 S13，图 S1）。在观察到的可靠性下，名义 30 基因检验 power 有限，而 effective-n 敏感性分析有意采用了非常保守的口径。</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930"/>
        <w:gridCol w:w="1930"/>
        <w:gridCol w:w="1930"/>
        <w:gridCol w:w="1930"/>
        <w:gridCol w:w="1930"/>
      </w:tblGrid>
      <w:tr>
        <w:trPr>
          <w:cantSplit/>
          <w:tblHeader w:val="true"/>
        </w:trPr>
        <w:tc>
          <w:tcPr>
            <w:tcW w:type="dxa" w:w="1930"/>
            <w:vAlign w:val="center"/>
            <w:shd w:fill="334E68"/>
          </w:tcPr>
          <w:p>
            <w:pPr>
              <w:jc w:val="left"/>
            </w:pPr>
            <w:r>
              <w:rPr>
                <w:b/>
                <w:color w:val="FFFFFF"/>
                <w:sz w:val="18"/>
              </w:rPr>
              <w:t>潜在相关</w:t>
            </w:r>
          </w:p>
        </w:tc>
        <w:tc>
          <w:tcPr>
            <w:tcW w:type="dxa" w:w="1930"/>
            <w:vAlign w:val="center"/>
            <w:shd w:fill="334E68"/>
          </w:tcPr>
          <w:p>
            <w:pPr>
              <w:jc w:val="center"/>
            </w:pPr>
            <w:r>
              <w:rPr>
                <w:b/>
                <w:color w:val="FFFFFF"/>
                <w:sz w:val="18"/>
              </w:rPr>
              <w:t>平均一致率</w:t>
            </w:r>
          </w:p>
        </w:tc>
        <w:tc>
          <w:tcPr>
            <w:tcW w:type="dxa" w:w="1930"/>
            <w:vAlign w:val="center"/>
            <w:shd w:fill="334E68"/>
          </w:tcPr>
          <w:p>
            <w:pPr>
              <w:jc w:val="center"/>
            </w:pPr>
            <w:r>
              <w:rPr>
                <w:b/>
                <w:color w:val="FFFFFF"/>
                <w:sz w:val="18"/>
              </w:rPr>
              <w:t>名义 n 的 power</w:t>
            </w:r>
          </w:p>
        </w:tc>
        <w:tc>
          <w:tcPr>
            <w:tcW w:type="dxa" w:w="1930"/>
            <w:vAlign w:val="center"/>
            <w:shd w:fill="334E68"/>
          </w:tcPr>
          <w:p>
            <w:pPr>
              <w:jc w:val="center"/>
            </w:pPr>
            <w:r>
              <w:rPr>
                <w:b/>
                <w:color w:val="FFFFFF"/>
                <w:sz w:val="18"/>
              </w:rPr>
              <w:t>有效 n 的 power</w:t>
            </w:r>
          </w:p>
        </w:tc>
        <w:tc>
          <w:tcPr>
            <w:tcW w:type="dxa" w:w="1930"/>
            <w:vAlign w:val="center"/>
            <w:shd w:fill="334E68"/>
          </w:tcPr>
          <w:p>
            <w:pPr>
              <w:jc w:val="center"/>
            </w:pPr>
            <w:r>
              <w:rPr>
                <w:b/>
                <w:color w:val="FFFFFF"/>
                <w:sz w:val="18"/>
              </w:rPr>
              <w:t>有效基因数</w:t>
            </w:r>
          </w:p>
        </w:tc>
      </w:tr>
      <w:tr>
        <w:trPr>
          <w:cantSplit/>
        </w:trPr>
        <w:tc>
          <w:tcPr>
            <w:tcW w:type="dxa" w:w="1930"/>
            <w:vAlign w:val="center"/>
          </w:tcPr>
          <w:p>
            <w:pPr>
              <w:jc w:val="left"/>
            </w:pPr>
            <w:r>
              <w:rPr>
                <w:sz w:val="18"/>
              </w:rPr>
              <w:t>0.0</w:t>
            </w:r>
          </w:p>
        </w:tc>
        <w:tc>
          <w:tcPr>
            <w:tcW w:type="dxa" w:w="1930"/>
            <w:vAlign w:val="center"/>
          </w:tcPr>
          <w:p>
            <w:pPr>
              <w:jc w:val="center"/>
            </w:pPr>
            <w:r>
              <w:rPr>
                <w:sz w:val="18"/>
              </w:rPr>
              <w:t>50.0%</w:t>
            </w:r>
          </w:p>
        </w:tc>
        <w:tc>
          <w:tcPr>
            <w:tcW w:type="dxa" w:w="1930"/>
            <w:vAlign w:val="center"/>
          </w:tcPr>
          <w:p>
            <w:pPr>
              <w:jc w:val="center"/>
            </w:pPr>
            <w:r>
              <w:rPr>
                <w:sz w:val="18"/>
              </w:rPr>
              <w:t>4.4%</w:t>
            </w:r>
          </w:p>
        </w:tc>
        <w:tc>
          <w:tcPr>
            <w:tcW w:type="dxa" w:w="1930"/>
            <w:vAlign w:val="center"/>
          </w:tcPr>
          <w:p>
            <w:pPr>
              <w:jc w:val="center"/>
            </w:pPr>
            <w:r>
              <w:rPr>
                <w:sz w:val="18"/>
              </w:rPr>
              <w:t>0.0%</w:t>
            </w:r>
          </w:p>
        </w:tc>
        <w:tc>
          <w:tcPr>
            <w:tcW w:type="dxa" w:w="1930"/>
            <w:vAlign w:val="center"/>
          </w:tcPr>
          <w:p>
            <w:pPr>
              <w:jc w:val="center"/>
            </w:pPr>
            <w:r>
              <w:rPr>
                <w:sz w:val="18"/>
              </w:rPr>
              <w:t>5</w:t>
            </w:r>
          </w:p>
        </w:tc>
      </w:tr>
      <w:tr>
        <w:trPr>
          <w:cantSplit/>
        </w:trPr>
        <w:tc>
          <w:tcPr>
            <w:tcW w:type="dxa" w:w="1930"/>
            <w:vAlign w:val="center"/>
            <w:shd w:fill="F2F4F7"/>
          </w:tcPr>
          <w:p>
            <w:pPr>
              <w:jc w:val="left"/>
            </w:pPr>
            <w:r>
              <w:rPr>
                <w:sz w:val="18"/>
              </w:rPr>
              <w:t>0.2</w:t>
            </w:r>
          </w:p>
        </w:tc>
        <w:tc>
          <w:tcPr>
            <w:tcW w:type="dxa" w:w="1930"/>
            <w:vAlign w:val="center"/>
            <w:shd w:fill="F2F4F7"/>
          </w:tcPr>
          <w:p>
            <w:pPr>
              <w:jc w:val="center"/>
            </w:pPr>
            <w:r>
              <w:rPr>
                <w:sz w:val="18"/>
              </w:rPr>
              <w:t>53.7%</w:t>
            </w:r>
          </w:p>
        </w:tc>
        <w:tc>
          <w:tcPr>
            <w:tcW w:type="dxa" w:w="1930"/>
            <w:vAlign w:val="center"/>
            <w:shd w:fill="F2F4F7"/>
          </w:tcPr>
          <w:p>
            <w:pPr>
              <w:jc w:val="center"/>
            </w:pPr>
            <w:r>
              <w:rPr>
                <w:sz w:val="18"/>
              </w:rPr>
              <w:t>6.2%</w:t>
            </w:r>
          </w:p>
        </w:tc>
        <w:tc>
          <w:tcPr>
            <w:tcW w:type="dxa" w:w="1930"/>
            <w:vAlign w:val="center"/>
            <w:shd w:fill="F2F4F7"/>
          </w:tcPr>
          <w:p>
            <w:pPr>
              <w:jc w:val="center"/>
            </w:pPr>
            <w:r>
              <w:rPr>
                <w:sz w:val="18"/>
              </w:rPr>
              <w:t>0.0%</w:t>
            </w:r>
          </w:p>
        </w:tc>
        <w:tc>
          <w:tcPr>
            <w:tcW w:type="dxa" w:w="1930"/>
            <w:vAlign w:val="center"/>
            <w:shd w:fill="F2F4F7"/>
          </w:tcPr>
          <w:p>
            <w:pPr>
              <w:jc w:val="center"/>
            </w:pPr>
            <w:r>
              <w:rPr>
                <w:sz w:val="18"/>
              </w:rPr>
              <w:t>5</w:t>
            </w:r>
          </w:p>
        </w:tc>
      </w:tr>
      <w:tr>
        <w:trPr>
          <w:cantSplit/>
        </w:trPr>
        <w:tc>
          <w:tcPr>
            <w:tcW w:type="dxa" w:w="1930"/>
            <w:vAlign w:val="center"/>
          </w:tcPr>
          <w:p>
            <w:pPr>
              <w:jc w:val="left"/>
            </w:pPr>
            <w:r>
              <w:rPr>
                <w:sz w:val="18"/>
              </w:rPr>
              <w:t>0.4</w:t>
            </w:r>
          </w:p>
        </w:tc>
        <w:tc>
          <w:tcPr>
            <w:tcW w:type="dxa" w:w="1930"/>
            <w:vAlign w:val="center"/>
          </w:tcPr>
          <w:p>
            <w:pPr>
              <w:jc w:val="center"/>
            </w:pPr>
            <w:r>
              <w:rPr>
                <w:sz w:val="18"/>
              </w:rPr>
              <w:t>57.4%</w:t>
            </w:r>
          </w:p>
        </w:tc>
        <w:tc>
          <w:tcPr>
            <w:tcW w:type="dxa" w:w="1930"/>
            <w:vAlign w:val="center"/>
          </w:tcPr>
          <w:p>
            <w:pPr>
              <w:jc w:val="center"/>
            </w:pPr>
            <w:r>
              <w:rPr>
                <w:sz w:val="18"/>
              </w:rPr>
              <w:t>11.1%</w:t>
            </w:r>
          </w:p>
        </w:tc>
        <w:tc>
          <w:tcPr>
            <w:tcW w:type="dxa" w:w="1930"/>
            <w:vAlign w:val="center"/>
          </w:tcPr>
          <w:p>
            <w:pPr>
              <w:jc w:val="center"/>
            </w:pPr>
            <w:r>
              <w:rPr>
                <w:sz w:val="18"/>
              </w:rPr>
              <w:t>0.0%</w:t>
            </w:r>
          </w:p>
        </w:tc>
        <w:tc>
          <w:tcPr>
            <w:tcW w:type="dxa" w:w="1930"/>
            <w:vAlign w:val="center"/>
          </w:tcPr>
          <w:p>
            <w:pPr>
              <w:jc w:val="center"/>
            </w:pPr>
            <w:r>
              <w:rPr>
                <w:sz w:val="18"/>
              </w:rPr>
              <w:t>5</w:t>
            </w:r>
          </w:p>
        </w:tc>
      </w:tr>
      <w:tr>
        <w:trPr>
          <w:cantSplit/>
        </w:trPr>
        <w:tc>
          <w:tcPr>
            <w:tcW w:type="dxa" w:w="1930"/>
            <w:vAlign w:val="center"/>
            <w:shd w:fill="F2F4F7"/>
          </w:tcPr>
          <w:p>
            <w:pPr>
              <w:jc w:val="left"/>
            </w:pPr>
            <w:r>
              <w:rPr>
                <w:sz w:val="18"/>
              </w:rPr>
              <w:t>0.6</w:t>
            </w:r>
          </w:p>
        </w:tc>
        <w:tc>
          <w:tcPr>
            <w:tcW w:type="dxa" w:w="1930"/>
            <w:vAlign w:val="center"/>
            <w:shd w:fill="F2F4F7"/>
          </w:tcPr>
          <w:p>
            <w:pPr>
              <w:jc w:val="center"/>
            </w:pPr>
            <w:r>
              <w:rPr>
                <w:sz w:val="18"/>
              </w:rPr>
              <w:t>60.9%</w:t>
            </w:r>
          </w:p>
        </w:tc>
        <w:tc>
          <w:tcPr>
            <w:tcW w:type="dxa" w:w="1930"/>
            <w:vAlign w:val="center"/>
            <w:shd w:fill="F2F4F7"/>
          </w:tcPr>
          <w:p>
            <w:pPr>
              <w:jc w:val="center"/>
            </w:pPr>
            <w:r>
              <w:rPr>
                <w:sz w:val="18"/>
              </w:rPr>
              <w:t>20.4%</w:t>
            </w:r>
          </w:p>
        </w:tc>
        <w:tc>
          <w:tcPr>
            <w:tcW w:type="dxa" w:w="1930"/>
            <w:vAlign w:val="center"/>
            <w:shd w:fill="F2F4F7"/>
          </w:tcPr>
          <w:p>
            <w:pPr>
              <w:jc w:val="center"/>
            </w:pPr>
            <w:r>
              <w:rPr>
                <w:sz w:val="18"/>
              </w:rPr>
              <w:t>0.0%</w:t>
            </w:r>
          </w:p>
        </w:tc>
        <w:tc>
          <w:tcPr>
            <w:tcW w:type="dxa" w:w="1930"/>
            <w:vAlign w:val="center"/>
            <w:shd w:fill="F2F4F7"/>
          </w:tcPr>
          <w:p>
            <w:pPr>
              <w:jc w:val="center"/>
            </w:pPr>
            <w:r>
              <w:rPr>
                <w:sz w:val="18"/>
              </w:rPr>
              <w:t>5</w:t>
            </w:r>
          </w:p>
        </w:tc>
      </w:tr>
    </w:tbl>
    <w:p/>
    <w:p>
      <w:r>
        <w:t>三种 permutation 方法对 ECM 结果方向一致（表 S15）。没有任何方法使 GSE70362 出现名义方向性，而 GSE23130 的结果从边界到名义阳性不等。</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3216"/>
        <w:gridCol w:w="3216"/>
        <w:gridCol w:w="3216"/>
      </w:tblGrid>
      <w:tr>
        <w:trPr>
          <w:cantSplit/>
          <w:tblHeader w:val="true"/>
        </w:trPr>
        <w:tc>
          <w:tcPr>
            <w:tcW w:type="dxa" w:w="4135"/>
            <w:vAlign w:val="center"/>
            <w:shd w:fill="334E68"/>
          </w:tcPr>
          <w:p>
            <w:pPr>
              <w:jc w:val="left"/>
            </w:pPr>
            <w:r>
              <w:rPr>
                <w:b/>
                <w:color w:val="FFFFFF"/>
                <w:sz w:val="18"/>
              </w:rPr>
              <w:t>方法</w:t>
            </w:r>
          </w:p>
        </w:tc>
        <w:tc>
          <w:tcPr>
            <w:tcW w:type="dxa" w:w="2757"/>
            <w:vAlign w:val="center"/>
            <w:shd w:fill="334E68"/>
          </w:tcPr>
          <w:p>
            <w:pPr>
              <w:jc w:val="center"/>
            </w:pPr>
            <w:r>
              <w:rPr>
                <w:b/>
                <w:color w:val="FFFFFF"/>
                <w:sz w:val="18"/>
              </w:rPr>
              <w:t>GSE70362 p</w:t>
            </w:r>
          </w:p>
        </w:tc>
        <w:tc>
          <w:tcPr>
            <w:tcW w:type="dxa" w:w="2757"/>
            <w:vAlign w:val="center"/>
            <w:shd w:fill="334E68"/>
          </w:tcPr>
          <w:p>
            <w:pPr>
              <w:jc w:val="center"/>
            </w:pPr>
            <w:r>
              <w:rPr>
                <w:b/>
                <w:color w:val="FFFFFF"/>
                <w:sz w:val="18"/>
              </w:rPr>
              <w:t>GSE23130 p</w:t>
            </w:r>
          </w:p>
        </w:tc>
      </w:tr>
      <w:tr>
        <w:trPr>
          <w:cantSplit/>
        </w:trPr>
        <w:tc>
          <w:tcPr>
            <w:tcW w:type="dxa" w:w="4135"/>
            <w:vAlign w:val="center"/>
          </w:tcPr>
          <w:p>
            <w:pPr>
              <w:jc w:val="left"/>
            </w:pPr>
            <w:r>
              <w:rPr>
                <w:sz w:val="18"/>
              </w:rPr>
              <w:t>stratified</w:t>
            </w:r>
          </w:p>
        </w:tc>
        <w:tc>
          <w:tcPr>
            <w:tcW w:type="dxa" w:w="2757"/>
            <w:vAlign w:val="center"/>
          </w:tcPr>
          <w:p>
            <w:pPr>
              <w:jc w:val="center"/>
            </w:pPr>
            <w:r>
              <w:rPr>
                <w:sz w:val="18"/>
              </w:rPr>
              <w:t>0.7500</w:t>
            </w:r>
          </w:p>
        </w:tc>
        <w:tc>
          <w:tcPr>
            <w:tcW w:type="dxa" w:w="2757"/>
            <w:vAlign w:val="center"/>
          </w:tcPr>
          <w:p>
            <w:pPr>
              <w:jc w:val="center"/>
            </w:pPr>
            <w:r>
              <w:rPr>
                <w:sz w:val="18"/>
              </w:rPr>
              <w:t>0.1000</w:t>
            </w:r>
          </w:p>
        </w:tc>
      </w:tr>
      <w:tr>
        <w:trPr>
          <w:cantSplit/>
        </w:trPr>
        <w:tc>
          <w:tcPr>
            <w:tcW w:type="dxa" w:w="4135"/>
            <w:vAlign w:val="center"/>
            <w:shd w:fill="F2F4F7"/>
          </w:tcPr>
          <w:p>
            <w:pPr>
              <w:jc w:val="left"/>
            </w:pPr>
            <w:r>
              <w:rPr>
                <w:sz w:val="18"/>
              </w:rPr>
              <w:t>freedman_lane</w:t>
            </w:r>
          </w:p>
        </w:tc>
        <w:tc>
          <w:tcPr>
            <w:tcW w:type="dxa" w:w="2757"/>
            <w:vAlign w:val="center"/>
            <w:shd w:fill="F2F4F7"/>
          </w:tcPr>
          <w:p>
            <w:pPr>
              <w:jc w:val="center"/>
            </w:pPr>
            <w:r>
              <w:rPr>
                <w:sz w:val="18"/>
              </w:rPr>
              <w:t>0.3700</w:t>
            </w:r>
          </w:p>
        </w:tc>
        <w:tc>
          <w:tcPr>
            <w:tcW w:type="dxa" w:w="2757"/>
            <w:vAlign w:val="center"/>
            <w:shd w:fill="F2F4F7"/>
          </w:tcPr>
          <w:p>
            <w:pPr>
              <w:jc w:val="center"/>
            </w:pPr>
            <w:r>
              <w:rPr>
                <w:sz w:val="18"/>
              </w:rPr>
              <w:t>0.0700</w:t>
            </w:r>
          </w:p>
        </w:tc>
      </w:tr>
      <w:tr>
        <w:trPr>
          <w:cantSplit/>
        </w:trPr>
        <w:tc>
          <w:tcPr>
            <w:tcW w:type="dxa" w:w="4135"/>
            <w:vAlign w:val="center"/>
          </w:tcPr>
          <w:p>
            <w:pPr>
              <w:jc w:val="left"/>
            </w:pPr>
            <w:r>
              <w:rPr>
                <w:sz w:val="18"/>
              </w:rPr>
              <w:t>rotation</w:t>
            </w:r>
          </w:p>
        </w:tc>
        <w:tc>
          <w:tcPr>
            <w:tcW w:type="dxa" w:w="2757"/>
            <w:vAlign w:val="center"/>
          </w:tcPr>
          <w:p>
            <w:pPr>
              <w:jc w:val="center"/>
            </w:pPr>
            <w:r>
              <w:rPr>
                <w:sz w:val="18"/>
              </w:rPr>
              <w:t>0.6600</w:t>
            </w:r>
          </w:p>
        </w:tc>
        <w:tc>
          <w:tcPr>
            <w:tcW w:type="dxa" w:w="2757"/>
            <w:vAlign w:val="center"/>
          </w:tcPr>
          <w:p>
            <w:pPr>
              <w:jc w:val="center"/>
            </w:pPr>
            <w:r>
              <w:rPr>
                <w:sz w:val="18"/>
              </w:rPr>
              <w:t>0.0100</w:t>
            </w:r>
          </w:p>
        </w:tc>
      </w:tr>
    </w:tbl>
    <w:p/>
    <w:p>
      <w:pPr>
        <w:pStyle w:val="Heading2"/>
        <w:keepNext/>
      </w:pPr>
      <w:r>
        <w:t>全模块审计呈相同模式</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4824"/>
        <w:gridCol w:w="4824"/>
      </w:tblGrid>
      <w:tr>
        <w:trPr>
          <w:cantSplit/>
          <w:tblHeader w:val="true"/>
        </w:trPr>
        <w:tc>
          <w:tcPr>
            <w:tcW w:type="dxa" w:w="5789"/>
            <w:vAlign w:val="center"/>
            <w:shd w:fill="334E68"/>
          </w:tcPr>
          <w:p>
            <w:pPr>
              <w:jc w:val="left"/>
            </w:pPr>
            <w:r>
              <w:rPr>
                <w:b/>
                <w:color w:val="FFFFFF"/>
                <w:sz w:val="18"/>
              </w:rPr>
              <w:t>阶段</w:t>
            </w:r>
          </w:p>
        </w:tc>
        <w:tc>
          <w:tcPr>
            <w:tcW w:type="dxa" w:w="3859"/>
            <w:vAlign w:val="center"/>
            <w:shd w:fill="334E68"/>
          </w:tcPr>
          <w:p>
            <w:pPr>
              <w:jc w:val="center"/>
            </w:pPr>
            <w:r>
              <w:rPr>
                <w:b/>
                <w:color w:val="FFFFFF"/>
                <w:sz w:val="18"/>
              </w:rPr>
              <w:t>模块数</w:t>
            </w:r>
          </w:p>
        </w:tc>
      </w:tr>
      <w:tr>
        <w:trPr>
          <w:cantSplit/>
        </w:trPr>
        <w:tc>
          <w:tcPr>
            <w:tcW w:type="dxa" w:w="5789"/>
            <w:vAlign w:val="center"/>
          </w:tcPr>
          <w:p>
            <w:pPr>
              <w:jc w:val="left"/>
            </w:pPr>
            <w:r>
              <w:rPr>
                <w:sz w:val="18"/>
              </w:rPr>
              <w:t>测试模块</w:t>
            </w:r>
          </w:p>
        </w:tc>
        <w:tc>
          <w:tcPr>
            <w:tcW w:type="dxa" w:w="3859"/>
            <w:vAlign w:val="center"/>
          </w:tcPr>
          <w:p>
            <w:pPr>
              <w:jc w:val="center"/>
            </w:pPr>
            <w:r>
              <w:rPr>
                <w:sz w:val="18"/>
              </w:rPr>
              <w:t>1554</w:t>
            </w:r>
          </w:p>
        </w:tc>
      </w:tr>
      <w:tr>
        <w:trPr>
          <w:cantSplit/>
        </w:trPr>
        <w:tc>
          <w:tcPr>
            <w:tcW w:type="dxa" w:w="5789"/>
            <w:vAlign w:val="center"/>
            <w:shd w:fill="F2F4F7"/>
          </w:tcPr>
          <w:p>
            <w:pPr>
              <w:jc w:val="left"/>
            </w:pPr>
            <w:r>
              <w:rPr>
                <w:sz w:val="18"/>
              </w:rPr>
              <w:t>仅单队列显著</w:t>
            </w:r>
          </w:p>
        </w:tc>
        <w:tc>
          <w:tcPr>
            <w:tcW w:type="dxa" w:w="3859"/>
            <w:vAlign w:val="center"/>
            <w:shd w:fill="F2F4F7"/>
          </w:tcPr>
          <w:p>
            <w:pPr>
              <w:jc w:val="center"/>
            </w:pPr>
            <w:r>
              <w:rPr>
                <w:sz w:val="18"/>
              </w:rPr>
              <w:t>673</w:t>
            </w:r>
          </w:p>
        </w:tc>
      </w:tr>
      <w:tr>
        <w:trPr>
          <w:cantSplit/>
        </w:trPr>
        <w:tc>
          <w:tcPr>
            <w:tcW w:type="dxa" w:w="5789"/>
            <w:vAlign w:val="center"/>
          </w:tcPr>
          <w:p>
            <w:pPr>
              <w:jc w:val="left"/>
            </w:pPr>
            <w:r>
              <w:rPr>
                <w:sz w:val="18"/>
              </w:rPr>
              <w:t>双队列显著</w:t>
            </w:r>
          </w:p>
        </w:tc>
        <w:tc>
          <w:tcPr>
            <w:tcW w:type="dxa" w:w="3859"/>
            <w:vAlign w:val="center"/>
          </w:tcPr>
          <w:p>
            <w:pPr>
              <w:jc w:val="center"/>
            </w:pPr>
            <w:r>
              <w:rPr>
                <w:sz w:val="18"/>
              </w:rPr>
              <w:t>31</w:t>
            </w:r>
          </w:p>
        </w:tc>
      </w:tr>
      <w:tr>
        <w:trPr>
          <w:cantSplit/>
        </w:trPr>
        <w:tc>
          <w:tcPr>
            <w:tcW w:type="dxa" w:w="5789"/>
            <w:vAlign w:val="center"/>
            <w:shd w:fill="F2F4F7"/>
          </w:tcPr>
          <w:p>
            <w:pPr>
              <w:jc w:val="left"/>
            </w:pPr>
            <w:r>
              <w:rPr>
                <w:sz w:val="18"/>
              </w:rPr>
              <w:t>双队列方向相反且显著</w:t>
            </w:r>
          </w:p>
        </w:tc>
        <w:tc>
          <w:tcPr>
            <w:tcW w:type="dxa" w:w="3859"/>
            <w:vAlign w:val="center"/>
            <w:shd w:fill="F2F4F7"/>
          </w:tcPr>
          <w:p>
            <w:pPr>
              <w:jc w:val="center"/>
            </w:pPr>
            <w:r>
              <w:rPr>
                <w:sz w:val="18"/>
              </w:rPr>
              <w:t>0</w:t>
            </w:r>
          </w:p>
        </w:tc>
      </w:tr>
      <w:tr>
        <w:trPr>
          <w:cantSplit/>
        </w:trPr>
        <w:tc>
          <w:tcPr>
            <w:tcW w:type="dxa" w:w="5789"/>
            <w:vAlign w:val="center"/>
          </w:tcPr>
          <w:p>
            <w:pPr>
              <w:jc w:val="left"/>
            </w:pPr>
            <w:r>
              <w:rPr>
                <w:sz w:val="18"/>
              </w:rPr>
              <w:t>名义模块和基因级门槛</w:t>
            </w:r>
          </w:p>
        </w:tc>
        <w:tc>
          <w:tcPr>
            <w:tcW w:type="dxa" w:w="3859"/>
            <w:vAlign w:val="center"/>
          </w:tcPr>
          <w:p>
            <w:pPr>
              <w:jc w:val="center"/>
            </w:pPr>
            <w:r>
              <w:rPr>
                <w:sz w:val="18"/>
              </w:rPr>
              <w:t>14</w:t>
            </w:r>
          </w:p>
        </w:tc>
      </w:tr>
      <w:tr>
        <w:trPr>
          <w:cantSplit/>
        </w:trPr>
        <w:tc>
          <w:tcPr>
            <w:tcW w:type="dxa" w:w="5789"/>
            <w:vAlign w:val="center"/>
            <w:shd w:fill="F2F4F7"/>
          </w:tcPr>
          <w:p>
            <w:pPr>
              <w:jc w:val="left"/>
            </w:pPr>
            <w:r>
              <w:rPr>
                <w:sz w:val="18"/>
              </w:rPr>
              <w:t>通过精确符号 FDR 门槛</w:t>
            </w:r>
          </w:p>
        </w:tc>
        <w:tc>
          <w:tcPr>
            <w:tcW w:type="dxa" w:w="3859"/>
            <w:vAlign w:val="center"/>
            <w:shd w:fill="F2F4F7"/>
          </w:tcPr>
          <w:p>
            <w:pPr>
              <w:jc w:val="center"/>
            </w:pPr>
            <w:r>
              <w:rPr>
                <w:sz w:val="18"/>
              </w:rPr>
              <w:t>0</w:t>
            </w:r>
          </w:p>
        </w:tc>
      </w:tr>
    </w:tbl>
    <w:p/>
    <w:p>
      <w:r>
        <w:t>1,554 个模块中，673 个仅在单队列显著（图 3；完整模块级结果见表 S4）。31 个在双队列显著，其中 14 个在名义 p 值下也通过基因级一致门槛。经过精确符号检验 FDR 控制，并以 permutation 和大小匹配经验零模型作为敏感性检查后，0 个模块通过严格门槛。没有模块在双队列中同向显著且方向相反，这符合中等相关的预期：不一致通常表现为接近随机的基因一致率，而不是清晰的方向反转。</w:t>
      </w:r>
    </w:p>
    <w:p>
      <w:r>
        <w:t>基因身份敏感性得到相同的定性结论（表 S24）。把 1,098 个仅能通过历史别名识别的平台 symbol 映射到当前 canonical symbols 后，测试模块由 1,554 增至 1,572，名义 Level 3 结果由 14 增至 15；双队列显著模块仍为 31，严格 FDR 通过仍为 0。ECM 主比较不变。 按照框 1 的定义，14 个模块达到 Level 3（候选基因级复制），0 个达到 Level 4（强跨队列复制）。</w:t>
      </w:r>
    </w:p>
    <w:p>
      <w:r>
        <w:t>FDR 家族敏感性也保留了严格阴性结果（表 S26）。分别在 Hallmark、KEGG 和 Reactome 内部执行 Benjamini-Hochberg 后，主映射和别名感知映射下的集合内 FDR 结果均为 0。主映射中的名义基因级结果为 0、3、11，别名映射后为 0、3、12。模块之间并不独立：1,636 对模块的 Jaccard 相似度超过 0.5，94 对超过 0.8。因此，“0 个严格通过”不只是因为把重叠集合合并成一个大 FDR 家族，但 FDR 也不能解释为数以千计的独立假设检验。</w:t>
      </w:r>
    </w:p>
    <w:p>
      <w:r>
        <w:t>模块层面的方向偏倚与基因级一致率基本无关，Spearman rho 约为 -0.05。因此，一个或两个队列中的更强模块方向，并不能预测相同基因在另一队列中是否一致。</w:t>
      </w:r>
    </w:p>
    <w:p>
      <w:r>
        <w:t>名义复制的模块没有被解释为机制（表 S27）。它们的名称集中在蛋白靶向、分子伴侣、糖基化、内质网-高尔基体运输、自噬和干扰素相关过程，但多数没有通过多重检验控制。因此，名义列表只能作为产生假设的候选列表，而不是生物学结论。</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930"/>
        <w:gridCol w:w="1930"/>
        <w:gridCol w:w="1930"/>
        <w:gridCol w:w="1930"/>
        <w:gridCol w:w="1930"/>
      </w:tblGrid>
      <w:tr>
        <w:trPr>
          <w:cantSplit/>
          <w:tblHeader w:val="true"/>
        </w:trPr>
        <w:tc>
          <w:tcPr>
            <w:tcW w:type="dxa" w:w="4385"/>
            <w:vAlign w:val="center"/>
            <w:shd w:fill="334E68"/>
          </w:tcPr>
          <w:p>
            <w:pPr>
              <w:jc w:val="left"/>
            </w:pPr>
            <w:r>
              <w:rPr>
                <w:b/>
                <w:color w:val="FFFFFF"/>
                <w:sz w:val="17"/>
              </w:rPr>
              <w:t>模块</w:t>
            </w:r>
          </w:p>
        </w:tc>
        <w:tc>
          <w:tcPr>
            <w:tcW w:type="dxa" w:w="1169"/>
            <w:vAlign w:val="center"/>
            <w:shd w:fill="334E68"/>
          </w:tcPr>
          <w:p>
            <w:pPr>
              <w:jc w:val="left"/>
            </w:pPr>
            <w:r>
              <w:rPr>
                <w:b/>
                <w:color w:val="FFFFFF"/>
                <w:sz w:val="17"/>
              </w:rPr>
              <w:t>基因数</w:t>
            </w:r>
          </w:p>
        </w:tc>
        <w:tc>
          <w:tcPr>
            <w:tcW w:type="dxa" w:w="1462"/>
            <w:vAlign w:val="center"/>
            <w:shd w:fill="334E68"/>
          </w:tcPr>
          <w:p>
            <w:pPr>
              <w:jc w:val="left"/>
            </w:pPr>
            <w:r>
              <w:rPr>
                <w:b/>
                <w:color w:val="FFFFFF"/>
                <w:sz w:val="17"/>
              </w:rPr>
              <w:t>GSE70362 上调</w:t>
            </w:r>
          </w:p>
        </w:tc>
        <w:tc>
          <w:tcPr>
            <w:tcW w:type="dxa" w:w="1462"/>
            <w:vAlign w:val="center"/>
            <w:shd w:fill="334E68"/>
          </w:tcPr>
          <w:p>
            <w:pPr>
              <w:jc w:val="left"/>
            </w:pPr>
            <w:r>
              <w:rPr>
                <w:b/>
                <w:color w:val="FFFFFF"/>
                <w:sz w:val="17"/>
              </w:rPr>
              <w:t>GSE23130 上调</w:t>
            </w:r>
          </w:p>
        </w:tc>
        <w:tc>
          <w:tcPr>
            <w:tcW w:type="dxa" w:w="1169"/>
            <w:vAlign w:val="center"/>
            <w:shd w:fill="334E68"/>
          </w:tcPr>
          <w:p>
            <w:pPr>
              <w:jc w:val="left"/>
            </w:pPr>
            <w:r>
              <w:rPr>
                <w:b/>
                <w:color w:val="FFFFFF"/>
                <w:sz w:val="17"/>
              </w:rPr>
              <w:t>一致率</w:t>
            </w:r>
          </w:p>
        </w:tc>
      </w:tr>
      <w:tr>
        <w:trPr>
          <w:cantSplit/>
        </w:trPr>
        <w:tc>
          <w:tcPr>
            <w:tcW w:type="dxa" w:w="4385"/>
            <w:vAlign w:val="center"/>
          </w:tcPr>
          <w:p>
            <w:pPr>
              <w:jc w:val="left"/>
            </w:pPr>
            <w:r>
              <w:rPr>
                <w:sz w:val="17"/>
              </w:rPr>
              <w:t>KEGG_PROTEIN_EXPORT</w:t>
            </w:r>
          </w:p>
        </w:tc>
        <w:tc>
          <w:tcPr>
            <w:tcW w:type="dxa" w:w="1169"/>
            <w:vAlign w:val="center"/>
          </w:tcPr>
          <w:p>
            <w:pPr>
              <w:jc w:val="left"/>
            </w:pPr>
            <w:r>
              <w:rPr>
                <w:sz w:val="17"/>
              </w:rPr>
              <w:t>22</w:t>
            </w:r>
          </w:p>
        </w:tc>
        <w:tc>
          <w:tcPr>
            <w:tcW w:type="dxa" w:w="1462"/>
            <w:vAlign w:val="center"/>
          </w:tcPr>
          <w:p>
            <w:pPr>
              <w:jc w:val="left"/>
            </w:pPr>
            <w:r>
              <w:rPr>
                <w:sz w:val="17"/>
              </w:rPr>
              <w:t>95.5%</w:t>
            </w:r>
          </w:p>
        </w:tc>
        <w:tc>
          <w:tcPr>
            <w:tcW w:type="dxa" w:w="1462"/>
            <w:vAlign w:val="center"/>
          </w:tcPr>
          <w:p>
            <w:pPr>
              <w:jc w:val="left"/>
            </w:pPr>
            <w:r>
              <w:rPr>
                <w:sz w:val="17"/>
              </w:rPr>
              <w:t>77.3%</w:t>
            </w:r>
          </w:p>
        </w:tc>
        <w:tc>
          <w:tcPr>
            <w:tcW w:type="dxa" w:w="1169"/>
            <w:vAlign w:val="center"/>
          </w:tcPr>
          <w:p>
            <w:pPr>
              <w:jc w:val="left"/>
            </w:pPr>
            <w:r>
              <w:rPr>
                <w:sz w:val="17"/>
              </w:rPr>
              <w:t>81.8%</w:t>
            </w:r>
          </w:p>
        </w:tc>
      </w:tr>
      <w:tr>
        <w:trPr>
          <w:cantSplit/>
        </w:trPr>
        <w:tc>
          <w:tcPr>
            <w:tcW w:type="dxa" w:w="4385"/>
            <w:vAlign w:val="center"/>
            <w:shd w:fill="F2F4F7"/>
          </w:tcPr>
          <w:p>
            <w:pPr>
              <w:jc w:val="left"/>
            </w:pPr>
            <w:r>
              <w:rPr>
                <w:sz w:val="17"/>
              </w:rPr>
              <w:t>REACTOME_HSP90_CHAPERONE_CYCLE_FOR_STEROID_HORMONE_RECEPTORS_SHR_IN_THE_PRESENCE_OF_LIGAND</w:t>
            </w:r>
          </w:p>
        </w:tc>
        <w:tc>
          <w:tcPr>
            <w:tcW w:type="dxa" w:w="1169"/>
            <w:vAlign w:val="center"/>
            <w:shd w:fill="F2F4F7"/>
          </w:tcPr>
          <w:p>
            <w:pPr>
              <w:jc w:val="left"/>
            </w:pPr>
            <w:r>
              <w:rPr>
                <w:sz w:val="17"/>
              </w:rPr>
              <w:t>49</w:t>
            </w:r>
          </w:p>
        </w:tc>
        <w:tc>
          <w:tcPr>
            <w:tcW w:type="dxa" w:w="1462"/>
            <w:vAlign w:val="center"/>
            <w:shd w:fill="F2F4F7"/>
          </w:tcPr>
          <w:p>
            <w:pPr>
              <w:jc w:val="left"/>
            </w:pPr>
            <w:r>
              <w:rPr>
                <w:sz w:val="17"/>
              </w:rPr>
              <w:t>65.3%</w:t>
            </w:r>
          </w:p>
        </w:tc>
        <w:tc>
          <w:tcPr>
            <w:tcW w:type="dxa" w:w="1462"/>
            <w:vAlign w:val="center"/>
            <w:shd w:fill="F2F4F7"/>
          </w:tcPr>
          <w:p>
            <w:pPr>
              <w:jc w:val="left"/>
            </w:pPr>
            <w:r>
              <w:rPr>
                <w:sz w:val="17"/>
              </w:rPr>
              <w:t>77.6%</w:t>
            </w:r>
          </w:p>
        </w:tc>
        <w:tc>
          <w:tcPr>
            <w:tcW w:type="dxa" w:w="1169"/>
            <w:vAlign w:val="center"/>
            <w:shd w:fill="F2F4F7"/>
          </w:tcPr>
          <w:p>
            <w:pPr>
              <w:jc w:val="left"/>
            </w:pPr>
            <w:r>
              <w:rPr>
                <w:sz w:val="17"/>
              </w:rPr>
              <w:t>75.5%</w:t>
            </w:r>
          </w:p>
        </w:tc>
      </w:tr>
      <w:tr>
        <w:trPr>
          <w:cantSplit/>
        </w:trPr>
        <w:tc>
          <w:tcPr>
            <w:tcW w:type="dxa" w:w="4385"/>
            <w:vAlign w:val="center"/>
          </w:tcPr>
          <w:p>
            <w:pPr>
              <w:jc w:val="left"/>
            </w:pPr>
            <w:r>
              <w:rPr>
                <w:sz w:val="17"/>
              </w:rPr>
              <w:t>REACTOME_ANTIGEN_PRESENTATION_FOLDING_ASSEMBLY_AND_PEPTIDE_LOADING_OF_CLASS_I_MHC</w:t>
            </w:r>
          </w:p>
        </w:tc>
        <w:tc>
          <w:tcPr>
            <w:tcW w:type="dxa" w:w="1169"/>
            <w:vAlign w:val="center"/>
          </w:tcPr>
          <w:p>
            <w:pPr>
              <w:jc w:val="left"/>
            </w:pPr>
            <w:r>
              <w:rPr>
                <w:sz w:val="17"/>
              </w:rPr>
              <w:t>29</w:t>
            </w:r>
          </w:p>
        </w:tc>
        <w:tc>
          <w:tcPr>
            <w:tcW w:type="dxa" w:w="1462"/>
            <w:vAlign w:val="center"/>
          </w:tcPr>
          <w:p>
            <w:pPr>
              <w:jc w:val="left"/>
            </w:pPr>
            <w:r>
              <w:rPr>
                <w:sz w:val="17"/>
              </w:rPr>
              <w:t>69.0%</w:t>
            </w:r>
          </w:p>
        </w:tc>
        <w:tc>
          <w:tcPr>
            <w:tcW w:type="dxa" w:w="1462"/>
            <w:vAlign w:val="center"/>
          </w:tcPr>
          <w:p>
            <w:pPr>
              <w:jc w:val="left"/>
            </w:pPr>
            <w:r>
              <w:rPr>
                <w:sz w:val="17"/>
              </w:rPr>
              <w:t>75.9%</w:t>
            </w:r>
          </w:p>
        </w:tc>
        <w:tc>
          <w:tcPr>
            <w:tcW w:type="dxa" w:w="1169"/>
            <w:vAlign w:val="center"/>
          </w:tcPr>
          <w:p>
            <w:pPr>
              <w:jc w:val="left"/>
            </w:pPr>
            <w:r>
              <w:rPr>
                <w:sz w:val="17"/>
              </w:rPr>
              <w:t>72.4%</w:t>
            </w:r>
          </w:p>
        </w:tc>
      </w:tr>
      <w:tr>
        <w:trPr>
          <w:cantSplit/>
        </w:trPr>
        <w:tc>
          <w:tcPr>
            <w:tcW w:type="dxa" w:w="4385"/>
            <w:vAlign w:val="center"/>
            <w:shd w:fill="F2F4F7"/>
          </w:tcPr>
          <w:p>
            <w:pPr>
              <w:jc w:val="left"/>
            </w:pPr>
            <w:r>
              <w:rPr>
                <w:sz w:val="17"/>
              </w:rPr>
              <w:t>REACTOME_CHAPERONE_MEDIATED_AUTOPHAGY</w:t>
            </w:r>
          </w:p>
        </w:tc>
        <w:tc>
          <w:tcPr>
            <w:tcW w:type="dxa" w:w="1169"/>
            <w:vAlign w:val="center"/>
            <w:shd w:fill="F2F4F7"/>
          </w:tcPr>
          <w:p>
            <w:pPr>
              <w:jc w:val="left"/>
            </w:pPr>
            <w:r>
              <w:rPr>
                <w:sz w:val="17"/>
              </w:rPr>
              <w:t>21</w:t>
            </w:r>
          </w:p>
        </w:tc>
        <w:tc>
          <w:tcPr>
            <w:tcW w:type="dxa" w:w="1462"/>
            <w:vAlign w:val="center"/>
            <w:shd w:fill="F2F4F7"/>
          </w:tcPr>
          <w:p>
            <w:pPr>
              <w:jc w:val="left"/>
            </w:pPr>
            <w:r>
              <w:rPr>
                <w:sz w:val="17"/>
              </w:rPr>
              <w:t>71.4%</w:t>
            </w:r>
          </w:p>
        </w:tc>
        <w:tc>
          <w:tcPr>
            <w:tcW w:type="dxa" w:w="1462"/>
            <w:vAlign w:val="center"/>
            <w:shd w:fill="F2F4F7"/>
          </w:tcPr>
          <w:p>
            <w:pPr>
              <w:jc w:val="left"/>
            </w:pPr>
            <w:r>
              <w:rPr>
                <w:sz w:val="17"/>
              </w:rPr>
              <w:t>71.4%</w:t>
            </w:r>
          </w:p>
        </w:tc>
        <w:tc>
          <w:tcPr>
            <w:tcW w:type="dxa" w:w="1169"/>
            <w:vAlign w:val="center"/>
            <w:shd w:fill="F2F4F7"/>
          </w:tcPr>
          <w:p>
            <w:pPr>
              <w:jc w:val="left"/>
            </w:pPr>
            <w:r>
              <w:rPr>
                <w:sz w:val="17"/>
              </w:rPr>
              <w:t>71.4%</w:t>
            </w:r>
          </w:p>
        </w:tc>
      </w:tr>
      <w:tr>
        <w:trPr>
          <w:cantSplit/>
        </w:trPr>
        <w:tc>
          <w:tcPr>
            <w:tcW w:type="dxa" w:w="4385"/>
            <w:vAlign w:val="center"/>
          </w:tcPr>
          <w:p>
            <w:pPr>
              <w:jc w:val="left"/>
            </w:pPr>
            <w:r>
              <w:rPr>
                <w:sz w:val="17"/>
              </w:rPr>
              <w:t>REACTOME_RHO_GTPASES_ACTIVATE_IQGAPS</w:t>
            </w:r>
          </w:p>
        </w:tc>
        <w:tc>
          <w:tcPr>
            <w:tcW w:type="dxa" w:w="1169"/>
            <w:vAlign w:val="center"/>
          </w:tcPr>
          <w:p>
            <w:pPr>
              <w:jc w:val="left"/>
            </w:pPr>
            <w:r>
              <w:rPr>
                <w:sz w:val="17"/>
              </w:rPr>
              <w:t>27</w:t>
            </w:r>
          </w:p>
        </w:tc>
        <w:tc>
          <w:tcPr>
            <w:tcW w:type="dxa" w:w="1462"/>
            <w:vAlign w:val="center"/>
          </w:tcPr>
          <w:p>
            <w:pPr>
              <w:jc w:val="left"/>
            </w:pPr>
            <w:r>
              <w:rPr>
                <w:sz w:val="17"/>
              </w:rPr>
              <w:t>70.4%</w:t>
            </w:r>
          </w:p>
        </w:tc>
        <w:tc>
          <w:tcPr>
            <w:tcW w:type="dxa" w:w="1462"/>
            <w:vAlign w:val="center"/>
          </w:tcPr>
          <w:p>
            <w:pPr>
              <w:jc w:val="left"/>
            </w:pPr>
            <w:r>
              <w:rPr>
                <w:sz w:val="17"/>
              </w:rPr>
              <w:t>85.2%</w:t>
            </w:r>
          </w:p>
        </w:tc>
        <w:tc>
          <w:tcPr>
            <w:tcW w:type="dxa" w:w="1169"/>
            <w:vAlign w:val="center"/>
          </w:tcPr>
          <w:p>
            <w:pPr>
              <w:jc w:val="left"/>
            </w:pPr>
            <w:r>
              <w:rPr>
                <w:sz w:val="17"/>
              </w:rPr>
              <w:t>70.4%</w:t>
            </w:r>
          </w:p>
        </w:tc>
      </w:tr>
      <w:tr>
        <w:trPr>
          <w:cantSplit/>
        </w:trPr>
        <w:tc>
          <w:tcPr>
            <w:tcW w:type="dxa" w:w="4385"/>
            <w:vAlign w:val="center"/>
            <w:shd w:fill="F2F4F7"/>
          </w:tcPr>
          <w:p>
            <w:pPr>
              <w:jc w:val="left"/>
            </w:pPr>
            <w:r>
              <w:rPr>
                <w:sz w:val="17"/>
              </w:rPr>
              <w:t>REACTOME_SRP_DEPENDENT_COTRANSLATIONAL_PROTEIN_TARGETING_TO_MEMBRANE</w:t>
            </w:r>
          </w:p>
        </w:tc>
        <w:tc>
          <w:tcPr>
            <w:tcW w:type="dxa" w:w="1169"/>
            <w:vAlign w:val="center"/>
            <w:shd w:fill="F2F4F7"/>
          </w:tcPr>
          <w:p>
            <w:pPr>
              <w:jc w:val="left"/>
            </w:pPr>
            <w:r>
              <w:rPr>
                <w:sz w:val="17"/>
              </w:rPr>
              <w:t>63</w:t>
            </w:r>
          </w:p>
        </w:tc>
        <w:tc>
          <w:tcPr>
            <w:tcW w:type="dxa" w:w="1462"/>
            <w:vAlign w:val="center"/>
            <w:shd w:fill="F2F4F7"/>
          </w:tcPr>
          <w:p>
            <w:pPr>
              <w:jc w:val="left"/>
            </w:pPr>
            <w:r>
              <w:rPr>
                <w:sz w:val="17"/>
              </w:rPr>
              <w:t>77.8%</w:t>
            </w:r>
          </w:p>
        </w:tc>
        <w:tc>
          <w:tcPr>
            <w:tcW w:type="dxa" w:w="1462"/>
            <w:vAlign w:val="center"/>
            <w:shd w:fill="F2F4F7"/>
          </w:tcPr>
          <w:p>
            <w:pPr>
              <w:jc w:val="left"/>
            </w:pPr>
            <w:r>
              <w:rPr>
                <w:sz w:val="17"/>
              </w:rPr>
              <w:t>87.3%</w:t>
            </w:r>
          </w:p>
        </w:tc>
        <w:tc>
          <w:tcPr>
            <w:tcW w:type="dxa" w:w="1169"/>
            <w:vAlign w:val="center"/>
            <w:shd w:fill="F2F4F7"/>
          </w:tcPr>
          <w:p>
            <w:pPr>
              <w:jc w:val="left"/>
            </w:pPr>
            <w:r>
              <w:rPr>
                <w:sz w:val="17"/>
              </w:rPr>
              <w:t>68.3%</w:t>
            </w:r>
          </w:p>
        </w:tc>
      </w:tr>
      <w:tr>
        <w:trPr>
          <w:cantSplit/>
        </w:trPr>
        <w:tc>
          <w:tcPr>
            <w:tcW w:type="dxa" w:w="4385"/>
            <w:vAlign w:val="center"/>
          </w:tcPr>
          <w:p>
            <w:pPr>
              <w:jc w:val="left"/>
            </w:pPr>
            <w:r>
              <w:rPr>
                <w:sz w:val="17"/>
              </w:rPr>
              <w:t>KEGG_PATHOGENIC_ESCHERICHIA_COLI_INFECTION</w:t>
            </w:r>
          </w:p>
        </w:tc>
        <w:tc>
          <w:tcPr>
            <w:tcW w:type="dxa" w:w="1169"/>
            <w:vAlign w:val="center"/>
          </w:tcPr>
          <w:p>
            <w:pPr>
              <w:jc w:val="left"/>
            </w:pPr>
            <w:r>
              <w:rPr>
                <w:sz w:val="17"/>
              </w:rPr>
              <w:t>44</w:t>
            </w:r>
          </w:p>
        </w:tc>
        <w:tc>
          <w:tcPr>
            <w:tcW w:type="dxa" w:w="1462"/>
            <w:vAlign w:val="center"/>
          </w:tcPr>
          <w:p>
            <w:pPr>
              <w:jc w:val="left"/>
            </w:pPr>
            <w:r>
              <w:rPr>
                <w:sz w:val="17"/>
              </w:rPr>
              <w:t>72.7%</w:t>
            </w:r>
          </w:p>
        </w:tc>
        <w:tc>
          <w:tcPr>
            <w:tcW w:type="dxa" w:w="1462"/>
            <w:vAlign w:val="center"/>
          </w:tcPr>
          <w:p>
            <w:pPr>
              <w:jc w:val="left"/>
            </w:pPr>
            <w:r>
              <w:rPr>
                <w:sz w:val="17"/>
              </w:rPr>
              <w:t>77.3%</w:t>
            </w:r>
          </w:p>
        </w:tc>
        <w:tc>
          <w:tcPr>
            <w:tcW w:type="dxa" w:w="1169"/>
            <w:vAlign w:val="center"/>
          </w:tcPr>
          <w:p>
            <w:pPr>
              <w:jc w:val="left"/>
            </w:pPr>
            <w:r>
              <w:rPr>
                <w:sz w:val="17"/>
              </w:rPr>
              <w:t>68.2%</w:t>
            </w:r>
          </w:p>
        </w:tc>
      </w:tr>
      <w:tr>
        <w:trPr>
          <w:cantSplit/>
        </w:trPr>
        <w:tc>
          <w:tcPr>
            <w:tcW w:type="dxa" w:w="4385"/>
            <w:vAlign w:val="center"/>
            <w:shd w:fill="F2F4F7"/>
          </w:tcPr>
          <w:p>
            <w:pPr>
              <w:jc w:val="left"/>
            </w:pPr>
            <w:r>
              <w:rPr>
                <w:sz w:val="17"/>
              </w:rPr>
              <w:t>REACTOME_COOPERATION_OF_PREFOLDIN_AND_TRIC_CCT_IN_ACTIN_AND_TUBULIN_FOLDING</w:t>
            </w:r>
          </w:p>
        </w:tc>
        <w:tc>
          <w:tcPr>
            <w:tcW w:type="dxa" w:w="1169"/>
            <w:vAlign w:val="center"/>
            <w:shd w:fill="F2F4F7"/>
          </w:tcPr>
          <w:p>
            <w:pPr>
              <w:jc w:val="left"/>
            </w:pPr>
            <w:r>
              <w:rPr>
                <w:sz w:val="17"/>
              </w:rPr>
              <w:t>31</w:t>
            </w:r>
          </w:p>
        </w:tc>
        <w:tc>
          <w:tcPr>
            <w:tcW w:type="dxa" w:w="1462"/>
            <w:vAlign w:val="center"/>
            <w:shd w:fill="F2F4F7"/>
          </w:tcPr>
          <w:p>
            <w:pPr>
              <w:jc w:val="left"/>
            </w:pPr>
            <w:r>
              <w:rPr>
                <w:sz w:val="17"/>
              </w:rPr>
              <w:t>67.7%</w:t>
            </w:r>
          </w:p>
        </w:tc>
        <w:tc>
          <w:tcPr>
            <w:tcW w:type="dxa" w:w="1462"/>
            <w:vAlign w:val="center"/>
            <w:shd w:fill="F2F4F7"/>
          </w:tcPr>
          <w:p>
            <w:pPr>
              <w:jc w:val="left"/>
            </w:pPr>
            <w:r>
              <w:rPr>
                <w:sz w:val="17"/>
              </w:rPr>
              <w:t>80.6%</w:t>
            </w:r>
          </w:p>
        </w:tc>
        <w:tc>
          <w:tcPr>
            <w:tcW w:type="dxa" w:w="1169"/>
            <w:vAlign w:val="center"/>
            <w:shd w:fill="F2F4F7"/>
          </w:tcPr>
          <w:p>
            <w:pPr>
              <w:jc w:val="left"/>
            </w:pPr>
            <w:r>
              <w:rPr>
                <w:sz w:val="17"/>
              </w:rPr>
              <w:t>67.7%</w:t>
            </w:r>
          </w:p>
        </w:tc>
      </w:tr>
      <w:tr>
        <w:trPr>
          <w:cantSplit/>
        </w:trPr>
        <w:tc>
          <w:tcPr>
            <w:tcW w:type="dxa" w:w="4385"/>
            <w:vAlign w:val="center"/>
          </w:tcPr>
          <w:p>
            <w:pPr>
              <w:jc w:val="left"/>
            </w:pPr>
            <w:r>
              <w:rPr>
                <w:sz w:val="17"/>
              </w:rPr>
              <w:t>REACTOME_CYCLIN_D_ASSOCIATED_EVENTS_IN_G1</w:t>
            </w:r>
          </w:p>
        </w:tc>
        <w:tc>
          <w:tcPr>
            <w:tcW w:type="dxa" w:w="1169"/>
            <w:vAlign w:val="center"/>
          </w:tcPr>
          <w:p>
            <w:pPr>
              <w:jc w:val="left"/>
            </w:pPr>
            <w:r>
              <w:rPr>
                <w:sz w:val="17"/>
              </w:rPr>
              <w:t>44</w:t>
            </w:r>
          </w:p>
        </w:tc>
        <w:tc>
          <w:tcPr>
            <w:tcW w:type="dxa" w:w="1462"/>
            <w:vAlign w:val="center"/>
          </w:tcPr>
          <w:p>
            <w:pPr>
              <w:jc w:val="left"/>
            </w:pPr>
            <w:r>
              <w:rPr>
                <w:sz w:val="17"/>
              </w:rPr>
              <w:t>65.9%</w:t>
            </w:r>
          </w:p>
        </w:tc>
        <w:tc>
          <w:tcPr>
            <w:tcW w:type="dxa" w:w="1462"/>
            <w:vAlign w:val="center"/>
          </w:tcPr>
          <w:p>
            <w:pPr>
              <w:jc w:val="left"/>
            </w:pPr>
            <w:r>
              <w:rPr>
                <w:sz w:val="17"/>
              </w:rPr>
              <w:t>63.6%</w:t>
            </w:r>
          </w:p>
        </w:tc>
        <w:tc>
          <w:tcPr>
            <w:tcW w:type="dxa" w:w="1169"/>
            <w:vAlign w:val="center"/>
          </w:tcPr>
          <w:p>
            <w:pPr>
              <w:jc w:val="left"/>
            </w:pPr>
            <w:r>
              <w:rPr>
                <w:sz w:val="17"/>
              </w:rPr>
              <w:t>65.9%</w:t>
            </w:r>
          </w:p>
        </w:tc>
      </w:tr>
      <w:tr>
        <w:trPr>
          <w:cantSplit/>
        </w:trPr>
        <w:tc>
          <w:tcPr>
            <w:tcW w:type="dxa" w:w="4385"/>
            <w:vAlign w:val="center"/>
            <w:shd w:fill="F2F4F7"/>
          </w:tcPr>
          <w:p>
            <w:pPr>
              <w:jc w:val="left"/>
            </w:pPr>
            <w:r>
              <w:rPr>
                <w:sz w:val="17"/>
              </w:rPr>
              <w:t>KEGG_VIBRIO_CHOLERAE_INFECTION</w:t>
            </w:r>
          </w:p>
        </w:tc>
        <w:tc>
          <w:tcPr>
            <w:tcW w:type="dxa" w:w="1169"/>
            <w:vAlign w:val="center"/>
            <w:shd w:fill="F2F4F7"/>
          </w:tcPr>
          <w:p>
            <w:pPr>
              <w:jc w:val="left"/>
            </w:pPr>
            <w:r>
              <w:rPr>
                <w:sz w:val="17"/>
              </w:rPr>
              <w:t>54</w:t>
            </w:r>
          </w:p>
        </w:tc>
        <w:tc>
          <w:tcPr>
            <w:tcW w:type="dxa" w:w="1462"/>
            <w:vAlign w:val="center"/>
            <w:shd w:fill="F2F4F7"/>
          </w:tcPr>
          <w:p>
            <w:pPr>
              <w:jc w:val="left"/>
            </w:pPr>
            <w:r>
              <w:rPr>
                <w:sz w:val="17"/>
              </w:rPr>
              <w:t>63.0%</w:t>
            </w:r>
          </w:p>
        </w:tc>
        <w:tc>
          <w:tcPr>
            <w:tcW w:type="dxa" w:w="1462"/>
            <w:vAlign w:val="center"/>
            <w:shd w:fill="F2F4F7"/>
          </w:tcPr>
          <w:p>
            <w:pPr>
              <w:jc w:val="left"/>
            </w:pPr>
            <w:r>
              <w:rPr>
                <w:sz w:val="17"/>
              </w:rPr>
              <w:t>74.1%</w:t>
            </w:r>
          </w:p>
        </w:tc>
        <w:tc>
          <w:tcPr>
            <w:tcW w:type="dxa" w:w="1169"/>
            <w:vAlign w:val="center"/>
            <w:shd w:fill="F2F4F7"/>
          </w:tcPr>
          <w:p>
            <w:pPr>
              <w:jc w:val="left"/>
            </w:pPr>
            <w:r>
              <w:rPr>
                <w:sz w:val="17"/>
              </w:rPr>
              <w:t>63.0%</w:t>
            </w:r>
          </w:p>
        </w:tc>
      </w:tr>
    </w:tbl>
    <w:p/>
    <w:p>
      <w:pPr>
        <w:pStyle w:val="Heading2"/>
        <w:keepNext/>
      </w:pPr>
      <w:r>
        <w:t>组织队列两两比较接近随机</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2412"/>
        <w:gridCol w:w="2412"/>
        <w:gridCol w:w="2412"/>
        <w:gridCol w:w="2412"/>
      </w:tblGrid>
      <w:tr>
        <w:trPr>
          <w:cantSplit/>
          <w:tblHeader w:val="true"/>
        </w:trPr>
        <w:tc>
          <w:tcPr>
            <w:tcW w:type="dxa" w:w="2468"/>
            <w:vAlign w:val="center"/>
            <w:shd w:fill="334E68"/>
          </w:tcPr>
          <w:p>
            <w:pPr>
              <w:jc w:val="left"/>
            </w:pPr>
            <w:r>
              <w:rPr>
                <w:b/>
                <w:color w:val="FFFFFF"/>
                <w:sz w:val="18"/>
              </w:rPr>
              <w:t>配对</w:t>
            </w:r>
          </w:p>
        </w:tc>
        <w:tc>
          <w:tcPr>
            <w:tcW w:type="dxa" w:w="1795"/>
            <w:vAlign w:val="center"/>
            <w:shd w:fill="334E68"/>
          </w:tcPr>
          <w:p>
            <w:pPr>
              <w:jc w:val="center"/>
            </w:pPr>
            <w:r>
              <w:rPr>
                <w:b/>
                <w:color w:val="FFFFFF"/>
                <w:sz w:val="18"/>
              </w:rPr>
              <w:t>基因数</w:t>
            </w:r>
          </w:p>
        </w:tc>
        <w:tc>
          <w:tcPr>
            <w:tcW w:type="dxa" w:w="1795"/>
            <w:vAlign w:val="center"/>
            <w:shd w:fill="334E68"/>
          </w:tcPr>
          <w:p>
            <w:pPr>
              <w:jc w:val="center"/>
            </w:pPr>
            <w:r>
              <w:rPr>
                <w:b/>
                <w:color w:val="FFFFFF"/>
                <w:sz w:val="18"/>
              </w:rPr>
              <w:t>一致率</w:t>
            </w:r>
          </w:p>
        </w:tc>
        <w:tc>
          <w:tcPr>
            <w:tcW w:type="dxa" w:w="3590"/>
            <w:vAlign w:val="center"/>
            <w:shd w:fill="334E68"/>
          </w:tcPr>
          <w:p>
            <w:pPr>
              <w:jc w:val="center"/>
            </w:pPr>
            <w:r>
              <w:rPr>
                <w:b/>
                <w:color w:val="FFFFFF"/>
                <w:sz w:val="18"/>
              </w:rPr>
              <w:t>精确 p</w:t>
            </w:r>
          </w:p>
        </w:tc>
      </w:tr>
      <w:tr>
        <w:trPr>
          <w:cantSplit/>
        </w:trPr>
        <w:tc>
          <w:tcPr>
            <w:tcW w:type="dxa" w:w="2468"/>
            <w:vAlign w:val="center"/>
          </w:tcPr>
          <w:p>
            <w:pPr>
              <w:jc w:val="left"/>
            </w:pPr>
            <w:r>
              <w:rPr>
                <w:sz w:val="18"/>
              </w:rPr>
              <w:t>GSE186542 vs GSE167199</w:t>
            </w:r>
          </w:p>
        </w:tc>
        <w:tc>
          <w:tcPr>
            <w:tcW w:type="dxa" w:w="1795"/>
            <w:vAlign w:val="center"/>
          </w:tcPr>
          <w:p>
            <w:pPr>
              <w:jc w:val="center"/>
            </w:pPr>
            <w:r>
              <w:rPr>
                <w:sz w:val="18"/>
              </w:rPr>
              <w:t>13441</w:t>
            </w:r>
          </w:p>
        </w:tc>
        <w:tc>
          <w:tcPr>
            <w:tcW w:type="dxa" w:w="1795"/>
            <w:vAlign w:val="center"/>
          </w:tcPr>
          <w:p>
            <w:pPr>
              <w:jc w:val="center"/>
            </w:pPr>
            <w:r>
              <w:rPr>
                <w:sz w:val="18"/>
              </w:rPr>
              <w:t>58.6%</w:t>
            </w:r>
          </w:p>
        </w:tc>
        <w:tc>
          <w:tcPr>
            <w:tcW w:type="dxa" w:w="3590"/>
            <w:vAlign w:val="center"/>
          </w:tcPr>
          <w:p>
            <w:pPr>
              <w:jc w:val="center"/>
            </w:pPr>
            <w:r>
              <w:rPr>
                <w:sz w:val="18"/>
              </w:rPr>
              <w:t>5.673517×10⁻⁹⁰</w:t>
            </w:r>
          </w:p>
        </w:tc>
      </w:tr>
      <w:tr>
        <w:trPr>
          <w:cantSplit/>
        </w:trPr>
        <w:tc>
          <w:tcPr>
            <w:tcW w:type="dxa" w:w="2468"/>
            <w:vAlign w:val="center"/>
            <w:shd w:fill="F2F4F7"/>
          </w:tcPr>
          <w:p>
            <w:pPr>
              <w:jc w:val="left"/>
            </w:pPr>
            <w:r>
              <w:rPr>
                <w:sz w:val="18"/>
              </w:rPr>
              <w:t>GSE167199 vs GSE146904</w:t>
            </w:r>
          </w:p>
        </w:tc>
        <w:tc>
          <w:tcPr>
            <w:tcW w:type="dxa" w:w="1795"/>
            <w:vAlign w:val="center"/>
            <w:shd w:fill="F2F4F7"/>
          </w:tcPr>
          <w:p>
            <w:pPr>
              <w:jc w:val="center"/>
            </w:pPr>
            <w:r>
              <w:rPr>
                <w:sz w:val="18"/>
              </w:rPr>
              <w:t>13788</w:t>
            </w:r>
          </w:p>
        </w:tc>
        <w:tc>
          <w:tcPr>
            <w:tcW w:type="dxa" w:w="1795"/>
            <w:vAlign w:val="center"/>
            <w:shd w:fill="F2F4F7"/>
          </w:tcPr>
          <w:p>
            <w:pPr>
              <w:jc w:val="center"/>
            </w:pPr>
            <w:r>
              <w:rPr>
                <w:sz w:val="18"/>
              </w:rPr>
              <w:t>57.4%</w:t>
            </w:r>
          </w:p>
        </w:tc>
        <w:tc>
          <w:tcPr>
            <w:tcW w:type="dxa" w:w="3590"/>
            <w:vAlign w:val="center"/>
            <w:shd w:fill="F2F4F7"/>
          </w:tcPr>
          <w:p>
            <w:pPr>
              <w:jc w:val="center"/>
            </w:pPr>
            <w:r>
              <w:rPr>
                <w:sz w:val="18"/>
              </w:rPr>
              <w:t>1.948720×10⁻⁶⁷</w:t>
            </w:r>
          </w:p>
        </w:tc>
      </w:tr>
      <w:tr>
        <w:trPr>
          <w:cantSplit/>
        </w:trPr>
        <w:tc>
          <w:tcPr>
            <w:tcW w:type="dxa" w:w="2468"/>
            <w:vAlign w:val="center"/>
          </w:tcPr>
          <w:p>
            <w:pPr>
              <w:jc w:val="left"/>
            </w:pPr>
            <w:r>
              <w:rPr>
                <w:sz w:val="18"/>
              </w:rPr>
              <w:t>GSE23130 vs GSE146904</w:t>
            </w:r>
          </w:p>
        </w:tc>
        <w:tc>
          <w:tcPr>
            <w:tcW w:type="dxa" w:w="1795"/>
            <w:vAlign w:val="center"/>
          </w:tcPr>
          <w:p>
            <w:pPr>
              <w:jc w:val="center"/>
            </w:pPr>
            <w:r>
              <w:rPr>
                <w:sz w:val="18"/>
              </w:rPr>
              <w:t>13960</w:t>
            </w:r>
          </w:p>
        </w:tc>
        <w:tc>
          <w:tcPr>
            <w:tcW w:type="dxa" w:w="1795"/>
            <w:vAlign w:val="center"/>
          </w:tcPr>
          <w:p>
            <w:pPr>
              <w:jc w:val="center"/>
            </w:pPr>
            <w:r>
              <w:rPr>
                <w:sz w:val="18"/>
              </w:rPr>
              <w:t>53.6%</w:t>
            </w:r>
          </w:p>
        </w:tc>
        <w:tc>
          <w:tcPr>
            <w:tcW w:type="dxa" w:w="3590"/>
            <w:vAlign w:val="center"/>
          </w:tcPr>
          <w:p>
            <w:pPr>
              <w:jc w:val="center"/>
            </w:pPr>
            <w:r>
              <w:rPr>
                <w:sz w:val="18"/>
              </w:rPr>
              <w:t>4.187344×10⁻¹⁸</w:t>
            </w:r>
          </w:p>
        </w:tc>
      </w:tr>
      <w:tr>
        <w:trPr>
          <w:cantSplit/>
        </w:trPr>
        <w:tc>
          <w:tcPr>
            <w:tcW w:type="dxa" w:w="2468"/>
            <w:vAlign w:val="center"/>
            <w:shd w:fill="F2F4F7"/>
          </w:tcPr>
          <w:p>
            <w:pPr>
              <w:jc w:val="left"/>
            </w:pPr>
            <w:r>
              <w:rPr>
                <w:sz w:val="18"/>
              </w:rPr>
              <w:t>GSE70362 vs GSE23130</w:t>
            </w:r>
          </w:p>
        </w:tc>
        <w:tc>
          <w:tcPr>
            <w:tcW w:type="dxa" w:w="1795"/>
            <w:vAlign w:val="center"/>
            <w:shd w:fill="F2F4F7"/>
          </w:tcPr>
          <w:p>
            <w:pPr>
              <w:jc w:val="center"/>
            </w:pPr>
            <w:r>
              <w:rPr>
                <w:sz w:val="18"/>
              </w:rPr>
              <w:t>14004</w:t>
            </w:r>
          </w:p>
        </w:tc>
        <w:tc>
          <w:tcPr>
            <w:tcW w:type="dxa" w:w="1795"/>
            <w:vAlign w:val="center"/>
            <w:shd w:fill="F2F4F7"/>
          </w:tcPr>
          <w:p>
            <w:pPr>
              <w:jc w:val="center"/>
            </w:pPr>
            <w:r>
              <w:rPr>
                <w:sz w:val="18"/>
              </w:rPr>
              <w:t>51.4%</w:t>
            </w:r>
          </w:p>
        </w:tc>
        <w:tc>
          <w:tcPr>
            <w:tcW w:type="dxa" w:w="3590"/>
            <w:vAlign w:val="center"/>
            <w:shd w:fill="F2F4F7"/>
          </w:tcPr>
          <w:p>
            <w:pPr>
              <w:jc w:val="center"/>
            </w:pPr>
            <w:r>
              <w:rPr>
                <w:sz w:val="18"/>
              </w:rPr>
              <w:t>3.510011×10⁻⁴</w:t>
            </w:r>
          </w:p>
        </w:tc>
      </w:tr>
      <w:tr>
        <w:trPr>
          <w:cantSplit/>
        </w:trPr>
        <w:tc>
          <w:tcPr>
            <w:tcW w:type="dxa" w:w="2468"/>
            <w:vAlign w:val="center"/>
          </w:tcPr>
          <w:p>
            <w:pPr>
              <w:jc w:val="left"/>
            </w:pPr>
            <w:r>
              <w:rPr>
                <w:sz w:val="18"/>
              </w:rPr>
              <w:t>GSE23130 vs GSE207176</w:t>
            </w:r>
          </w:p>
        </w:tc>
        <w:tc>
          <w:tcPr>
            <w:tcW w:type="dxa" w:w="1795"/>
            <w:vAlign w:val="center"/>
          </w:tcPr>
          <w:p>
            <w:pPr>
              <w:jc w:val="center"/>
            </w:pPr>
            <w:r>
              <w:rPr>
                <w:sz w:val="18"/>
              </w:rPr>
              <w:t>14004</w:t>
            </w:r>
          </w:p>
        </w:tc>
        <w:tc>
          <w:tcPr>
            <w:tcW w:type="dxa" w:w="1795"/>
            <w:vAlign w:val="center"/>
          </w:tcPr>
          <w:p>
            <w:pPr>
              <w:jc w:val="center"/>
            </w:pPr>
            <w:r>
              <w:rPr>
                <w:sz w:val="18"/>
              </w:rPr>
              <w:t>51.3%</w:t>
            </w:r>
          </w:p>
        </w:tc>
        <w:tc>
          <w:tcPr>
            <w:tcW w:type="dxa" w:w="3590"/>
            <w:vAlign w:val="center"/>
          </w:tcPr>
          <w:p>
            <w:pPr>
              <w:jc w:val="center"/>
            </w:pPr>
            <w:r>
              <w:rPr>
                <w:sz w:val="18"/>
              </w:rPr>
              <w:t>7.647001×10⁻⁴</w:t>
            </w:r>
          </w:p>
        </w:tc>
      </w:tr>
      <w:tr>
        <w:trPr>
          <w:cantSplit/>
        </w:trPr>
        <w:tc>
          <w:tcPr>
            <w:tcW w:type="dxa" w:w="2468"/>
            <w:vAlign w:val="center"/>
            <w:shd w:fill="F2F4F7"/>
          </w:tcPr>
          <w:p>
            <w:pPr>
              <w:jc w:val="left"/>
            </w:pPr>
            <w:r>
              <w:rPr>
                <w:sz w:val="18"/>
              </w:rPr>
              <w:t>GSE23130 vs GSE167199</w:t>
            </w:r>
          </w:p>
        </w:tc>
        <w:tc>
          <w:tcPr>
            <w:tcW w:type="dxa" w:w="1795"/>
            <w:vAlign w:val="center"/>
            <w:shd w:fill="F2F4F7"/>
          </w:tcPr>
          <w:p>
            <w:pPr>
              <w:jc w:val="center"/>
            </w:pPr>
            <w:r>
              <w:rPr>
                <w:sz w:val="18"/>
              </w:rPr>
              <w:t>13827</w:t>
            </w:r>
          </w:p>
        </w:tc>
        <w:tc>
          <w:tcPr>
            <w:tcW w:type="dxa" w:w="1795"/>
            <w:vAlign w:val="center"/>
            <w:shd w:fill="F2F4F7"/>
          </w:tcPr>
          <w:p>
            <w:pPr>
              <w:jc w:val="center"/>
            </w:pPr>
            <w:r>
              <w:rPr>
                <w:sz w:val="18"/>
              </w:rPr>
              <w:t>50.9%</w:t>
            </w:r>
          </w:p>
        </w:tc>
        <w:tc>
          <w:tcPr>
            <w:tcW w:type="dxa" w:w="3590"/>
            <w:vAlign w:val="center"/>
            <w:shd w:fill="F2F4F7"/>
          </w:tcPr>
          <w:p>
            <w:pPr>
              <w:jc w:val="center"/>
            </w:pPr>
            <w:r>
              <w:rPr>
                <w:sz w:val="18"/>
              </w:rPr>
              <w:t>0.0135</w:t>
            </w:r>
          </w:p>
        </w:tc>
      </w:tr>
      <w:tr>
        <w:trPr>
          <w:cantSplit/>
        </w:trPr>
        <w:tc>
          <w:tcPr>
            <w:tcW w:type="dxa" w:w="2468"/>
            <w:vAlign w:val="center"/>
          </w:tcPr>
          <w:p>
            <w:pPr>
              <w:jc w:val="left"/>
            </w:pPr>
            <w:r>
              <w:rPr>
                <w:sz w:val="18"/>
              </w:rPr>
              <w:t>GSE70362 vs GSE186542</w:t>
            </w:r>
          </w:p>
        </w:tc>
        <w:tc>
          <w:tcPr>
            <w:tcW w:type="dxa" w:w="1795"/>
            <w:vAlign w:val="center"/>
          </w:tcPr>
          <w:p>
            <w:pPr>
              <w:jc w:val="center"/>
            </w:pPr>
            <w:r>
              <w:rPr>
                <w:sz w:val="18"/>
              </w:rPr>
              <w:t>13563</w:t>
            </w:r>
          </w:p>
        </w:tc>
        <w:tc>
          <w:tcPr>
            <w:tcW w:type="dxa" w:w="1795"/>
            <w:vAlign w:val="center"/>
          </w:tcPr>
          <w:p>
            <w:pPr>
              <w:jc w:val="center"/>
            </w:pPr>
            <w:r>
              <w:rPr>
                <w:sz w:val="18"/>
              </w:rPr>
              <w:t>49.7%</w:t>
            </w:r>
          </w:p>
        </w:tc>
        <w:tc>
          <w:tcPr>
            <w:tcW w:type="dxa" w:w="3590"/>
            <w:vAlign w:val="center"/>
          </w:tcPr>
          <w:p>
            <w:pPr>
              <w:jc w:val="center"/>
            </w:pPr>
            <w:r>
              <w:rPr>
                <w:sz w:val="18"/>
              </w:rPr>
              <w:t>0.7593</w:t>
            </w:r>
          </w:p>
        </w:tc>
      </w:tr>
      <w:tr>
        <w:trPr>
          <w:cantSplit/>
        </w:trPr>
        <w:tc>
          <w:tcPr>
            <w:tcW w:type="dxa" w:w="2468"/>
            <w:vAlign w:val="center"/>
            <w:shd w:fill="F2F4F7"/>
          </w:tcPr>
          <w:p>
            <w:pPr>
              <w:jc w:val="left"/>
            </w:pPr>
            <w:r>
              <w:rPr>
                <w:sz w:val="18"/>
              </w:rPr>
              <w:t>GSE70362 vs GSE146904</w:t>
            </w:r>
          </w:p>
        </w:tc>
        <w:tc>
          <w:tcPr>
            <w:tcW w:type="dxa" w:w="1795"/>
            <w:vAlign w:val="center"/>
            <w:shd w:fill="F2F4F7"/>
          </w:tcPr>
          <w:p>
            <w:pPr>
              <w:jc w:val="center"/>
            </w:pPr>
            <w:r>
              <w:rPr>
                <w:sz w:val="18"/>
              </w:rPr>
              <w:t>13960</w:t>
            </w:r>
          </w:p>
        </w:tc>
        <w:tc>
          <w:tcPr>
            <w:tcW w:type="dxa" w:w="1795"/>
            <w:vAlign w:val="center"/>
            <w:shd w:fill="F2F4F7"/>
          </w:tcPr>
          <w:p>
            <w:pPr>
              <w:jc w:val="center"/>
            </w:pPr>
            <w:r>
              <w:rPr>
                <w:sz w:val="18"/>
              </w:rPr>
              <w:t>49.4%</w:t>
            </w:r>
          </w:p>
        </w:tc>
        <w:tc>
          <w:tcPr>
            <w:tcW w:type="dxa" w:w="3590"/>
            <w:vAlign w:val="center"/>
            <w:shd w:fill="F2F4F7"/>
          </w:tcPr>
          <w:p>
            <w:pPr>
              <w:jc w:val="center"/>
            </w:pPr>
            <w:r>
              <w:rPr>
                <w:sz w:val="18"/>
              </w:rPr>
              <w:t>0.9212</w:t>
            </w:r>
          </w:p>
        </w:tc>
      </w:tr>
      <w:tr>
        <w:trPr>
          <w:cantSplit/>
        </w:trPr>
        <w:tc>
          <w:tcPr>
            <w:tcW w:type="dxa" w:w="2468"/>
            <w:vAlign w:val="center"/>
          </w:tcPr>
          <w:p>
            <w:pPr>
              <w:jc w:val="left"/>
            </w:pPr>
            <w:r>
              <w:rPr>
                <w:sz w:val="18"/>
              </w:rPr>
              <w:t>GSE70362 vs GSE207176</w:t>
            </w:r>
          </w:p>
        </w:tc>
        <w:tc>
          <w:tcPr>
            <w:tcW w:type="dxa" w:w="1795"/>
            <w:vAlign w:val="center"/>
          </w:tcPr>
          <w:p>
            <w:pPr>
              <w:jc w:val="center"/>
            </w:pPr>
            <w:r>
              <w:rPr>
                <w:sz w:val="18"/>
              </w:rPr>
              <w:t>14004</w:t>
            </w:r>
          </w:p>
        </w:tc>
        <w:tc>
          <w:tcPr>
            <w:tcW w:type="dxa" w:w="1795"/>
            <w:vAlign w:val="center"/>
          </w:tcPr>
          <w:p>
            <w:pPr>
              <w:jc w:val="center"/>
            </w:pPr>
            <w:r>
              <w:rPr>
                <w:sz w:val="18"/>
              </w:rPr>
              <w:t>49.1%</w:t>
            </w:r>
          </w:p>
        </w:tc>
        <w:tc>
          <w:tcPr>
            <w:tcW w:type="dxa" w:w="3590"/>
            <w:vAlign w:val="center"/>
          </w:tcPr>
          <w:p>
            <w:pPr>
              <w:jc w:val="center"/>
            </w:pPr>
            <w:r>
              <w:rPr>
                <w:sz w:val="18"/>
              </w:rPr>
              <w:t>0.9880</w:t>
            </w:r>
          </w:p>
        </w:tc>
      </w:tr>
      <w:tr>
        <w:trPr>
          <w:cantSplit/>
        </w:trPr>
        <w:tc>
          <w:tcPr>
            <w:tcW w:type="dxa" w:w="2468"/>
            <w:vAlign w:val="center"/>
            <w:shd w:fill="F2F4F7"/>
          </w:tcPr>
          <w:p>
            <w:pPr>
              <w:jc w:val="left"/>
            </w:pPr>
            <w:r>
              <w:rPr>
                <w:sz w:val="18"/>
              </w:rPr>
              <w:t>GSE23130 vs GSE186542</w:t>
            </w:r>
          </w:p>
        </w:tc>
        <w:tc>
          <w:tcPr>
            <w:tcW w:type="dxa" w:w="1795"/>
            <w:vAlign w:val="center"/>
            <w:shd w:fill="F2F4F7"/>
          </w:tcPr>
          <w:p>
            <w:pPr>
              <w:jc w:val="center"/>
            </w:pPr>
            <w:r>
              <w:rPr>
                <w:sz w:val="18"/>
              </w:rPr>
              <w:t>13563</w:t>
            </w:r>
          </w:p>
        </w:tc>
        <w:tc>
          <w:tcPr>
            <w:tcW w:type="dxa" w:w="1795"/>
            <w:vAlign w:val="center"/>
            <w:shd w:fill="F2F4F7"/>
          </w:tcPr>
          <w:p>
            <w:pPr>
              <w:jc w:val="center"/>
            </w:pPr>
            <w:r>
              <w:rPr>
                <w:sz w:val="18"/>
              </w:rPr>
              <w:t>48.7%</w:t>
            </w:r>
          </w:p>
        </w:tc>
        <w:tc>
          <w:tcPr>
            <w:tcW w:type="dxa" w:w="3590"/>
            <w:vAlign w:val="center"/>
            <w:shd w:fill="F2F4F7"/>
          </w:tcPr>
          <w:p>
            <w:pPr>
              <w:jc w:val="center"/>
            </w:pPr>
            <w:r>
              <w:rPr>
                <w:sz w:val="18"/>
              </w:rPr>
              <w:t>0.9988</w:t>
            </w:r>
          </w:p>
        </w:tc>
      </w:tr>
      <w:tr>
        <w:trPr>
          <w:cantSplit/>
        </w:trPr>
        <w:tc>
          <w:tcPr>
            <w:tcW w:type="dxa" w:w="2468"/>
            <w:vAlign w:val="center"/>
          </w:tcPr>
          <w:p>
            <w:pPr>
              <w:jc w:val="left"/>
            </w:pPr>
            <w:r>
              <w:rPr>
                <w:sz w:val="18"/>
              </w:rPr>
              <w:t>GSE70362 vs GSE167199</w:t>
            </w:r>
          </w:p>
        </w:tc>
        <w:tc>
          <w:tcPr>
            <w:tcW w:type="dxa" w:w="1795"/>
            <w:vAlign w:val="center"/>
          </w:tcPr>
          <w:p>
            <w:pPr>
              <w:jc w:val="center"/>
            </w:pPr>
            <w:r>
              <w:rPr>
                <w:sz w:val="18"/>
              </w:rPr>
              <w:t>13827</w:t>
            </w:r>
          </w:p>
        </w:tc>
        <w:tc>
          <w:tcPr>
            <w:tcW w:type="dxa" w:w="1795"/>
            <w:vAlign w:val="center"/>
          </w:tcPr>
          <w:p>
            <w:pPr>
              <w:jc w:val="center"/>
            </w:pPr>
            <w:r>
              <w:rPr>
                <w:sz w:val="18"/>
              </w:rPr>
              <w:t>47.6%</w:t>
            </w:r>
          </w:p>
        </w:tc>
        <w:tc>
          <w:tcPr>
            <w:tcW w:type="dxa" w:w="3590"/>
            <w:vAlign w:val="center"/>
          </w:tcPr>
          <w:p>
            <w:pPr>
              <w:jc w:val="center"/>
            </w:pPr>
            <w:r>
              <w:rPr>
                <w:sz w:val="18"/>
              </w:rPr>
              <w:t>1.0000</w:t>
            </w:r>
          </w:p>
        </w:tc>
      </w:tr>
      <w:tr>
        <w:trPr>
          <w:cantSplit/>
        </w:trPr>
        <w:tc>
          <w:tcPr>
            <w:tcW w:type="dxa" w:w="2468"/>
            <w:vAlign w:val="center"/>
            <w:shd w:fill="F2F4F7"/>
          </w:tcPr>
          <w:p>
            <w:pPr>
              <w:jc w:val="left"/>
            </w:pPr>
            <w:r>
              <w:rPr>
                <w:sz w:val="18"/>
              </w:rPr>
              <w:t>GSE186542 vs GSE146904</w:t>
            </w:r>
          </w:p>
        </w:tc>
        <w:tc>
          <w:tcPr>
            <w:tcW w:type="dxa" w:w="1795"/>
            <w:vAlign w:val="center"/>
            <w:shd w:fill="F2F4F7"/>
          </w:tcPr>
          <w:p>
            <w:pPr>
              <w:jc w:val="center"/>
            </w:pPr>
            <w:r>
              <w:rPr>
                <w:sz w:val="18"/>
              </w:rPr>
              <w:t>13554</w:t>
            </w:r>
          </w:p>
        </w:tc>
        <w:tc>
          <w:tcPr>
            <w:tcW w:type="dxa" w:w="1795"/>
            <w:vAlign w:val="center"/>
            <w:shd w:fill="F2F4F7"/>
          </w:tcPr>
          <w:p>
            <w:pPr>
              <w:jc w:val="center"/>
            </w:pPr>
            <w:r>
              <w:rPr>
                <w:sz w:val="18"/>
              </w:rPr>
              <w:t>44.2%</w:t>
            </w:r>
          </w:p>
        </w:tc>
        <w:tc>
          <w:tcPr>
            <w:tcW w:type="dxa" w:w="3590"/>
            <w:vAlign w:val="center"/>
            <w:shd w:fill="F2F4F7"/>
          </w:tcPr>
          <w:p>
            <w:pPr>
              <w:jc w:val="center"/>
            </w:pPr>
            <w:r>
              <w:rPr>
                <w:sz w:val="18"/>
              </w:rPr>
              <w:t>1.0000</w:t>
            </w:r>
          </w:p>
        </w:tc>
      </w:tr>
      <w:tr>
        <w:trPr>
          <w:cantSplit/>
        </w:trPr>
        <w:tc>
          <w:tcPr>
            <w:tcW w:type="dxa" w:w="2468"/>
            <w:vAlign w:val="center"/>
          </w:tcPr>
          <w:p>
            <w:pPr>
              <w:jc w:val="left"/>
            </w:pPr>
            <w:r>
              <w:rPr>
                <w:sz w:val="18"/>
              </w:rPr>
              <w:t>GSE186542 vs GSE207176</w:t>
            </w:r>
          </w:p>
        </w:tc>
        <w:tc>
          <w:tcPr>
            <w:tcW w:type="dxa" w:w="1795"/>
            <w:vAlign w:val="center"/>
          </w:tcPr>
          <w:p>
            <w:pPr>
              <w:jc w:val="center"/>
            </w:pPr>
            <w:r>
              <w:rPr>
                <w:sz w:val="18"/>
              </w:rPr>
              <w:t>13563</w:t>
            </w:r>
          </w:p>
        </w:tc>
        <w:tc>
          <w:tcPr>
            <w:tcW w:type="dxa" w:w="1795"/>
            <w:vAlign w:val="center"/>
          </w:tcPr>
          <w:p>
            <w:pPr>
              <w:jc w:val="center"/>
            </w:pPr>
            <w:r>
              <w:rPr>
                <w:sz w:val="18"/>
              </w:rPr>
              <w:t>42.5%</w:t>
            </w:r>
          </w:p>
        </w:tc>
        <w:tc>
          <w:tcPr>
            <w:tcW w:type="dxa" w:w="3590"/>
            <w:vAlign w:val="center"/>
          </w:tcPr>
          <w:p>
            <w:pPr>
              <w:jc w:val="center"/>
            </w:pPr>
            <w:r>
              <w:rPr>
                <w:sz w:val="18"/>
              </w:rPr>
              <w:t>1.0000</w:t>
            </w:r>
          </w:p>
        </w:tc>
      </w:tr>
      <w:tr>
        <w:trPr>
          <w:cantSplit/>
        </w:trPr>
        <w:tc>
          <w:tcPr>
            <w:tcW w:type="dxa" w:w="2468"/>
            <w:vAlign w:val="center"/>
            <w:shd w:fill="F2F4F7"/>
          </w:tcPr>
          <w:p>
            <w:pPr>
              <w:jc w:val="left"/>
            </w:pPr>
            <w:r>
              <w:rPr>
                <w:sz w:val="18"/>
              </w:rPr>
              <w:t>GSE146904 vs GSE207176</w:t>
            </w:r>
          </w:p>
        </w:tc>
        <w:tc>
          <w:tcPr>
            <w:tcW w:type="dxa" w:w="1795"/>
            <w:vAlign w:val="center"/>
            <w:shd w:fill="F2F4F7"/>
          </w:tcPr>
          <w:p>
            <w:pPr>
              <w:jc w:val="center"/>
            </w:pPr>
            <w:r>
              <w:rPr>
                <w:sz w:val="18"/>
              </w:rPr>
              <w:t>13960</w:t>
            </w:r>
          </w:p>
        </w:tc>
        <w:tc>
          <w:tcPr>
            <w:tcW w:type="dxa" w:w="1795"/>
            <w:vAlign w:val="center"/>
            <w:shd w:fill="F2F4F7"/>
          </w:tcPr>
          <w:p>
            <w:pPr>
              <w:jc w:val="center"/>
            </w:pPr>
            <w:r>
              <w:rPr>
                <w:sz w:val="18"/>
              </w:rPr>
              <w:t>41.8%</w:t>
            </w:r>
          </w:p>
        </w:tc>
        <w:tc>
          <w:tcPr>
            <w:tcW w:type="dxa" w:w="3590"/>
            <w:vAlign w:val="center"/>
            <w:shd w:fill="F2F4F7"/>
          </w:tcPr>
          <w:p>
            <w:pPr>
              <w:jc w:val="center"/>
            </w:pPr>
            <w:r>
              <w:rPr>
                <w:sz w:val="18"/>
              </w:rPr>
              <w:t>1.0000</w:t>
            </w:r>
          </w:p>
        </w:tc>
      </w:tr>
      <w:tr>
        <w:trPr>
          <w:cantSplit/>
        </w:trPr>
        <w:tc>
          <w:tcPr>
            <w:tcW w:type="dxa" w:w="2468"/>
            <w:vAlign w:val="center"/>
          </w:tcPr>
          <w:p>
            <w:pPr>
              <w:jc w:val="left"/>
            </w:pPr>
            <w:r>
              <w:rPr>
                <w:sz w:val="18"/>
              </w:rPr>
              <w:t>GSE167199 vs GSE207176</w:t>
            </w:r>
          </w:p>
        </w:tc>
        <w:tc>
          <w:tcPr>
            <w:tcW w:type="dxa" w:w="1795"/>
            <w:vAlign w:val="center"/>
          </w:tcPr>
          <w:p>
            <w:pPr>
              <w:jc w:val="center"/>
            </w:pPr>
            <w:r>
              <w:rPr>
                <w:sz w:val="18"/>
              </w:rPr>
              <w:t>13827</w:t>
            </w:r>
          </w:p>
        </w:tc>
        <w:tc>
          <w:tcPr>
            <w:tcW w:type="dxa" w:w="1795"/>
            <w:vAlign w:val="center"/>
          </w:tcPr>
          <w:p>
            <w:pPr>
              <w:jc w:val="center"/>
            </w:pPr>
            <w:r>
              <w:rPr>
                <w:sz w:val="18"/>
              </w:rPr>
              <w:t>38.7%</w:t>
            </w:r>
          </w:p>
        </w:tc>
        <w:tc>
          <w:tcPr>
            <w:tcW w:type="dxa" w:w="3590"/>
            <w:vAlign w:val="center"/>
          </w:tcPr>
          <w:p>
            <w:pPr>
              <w:jc w:val="center"/>
            </w:pPr>
            <w:r>
              <w:rPr>
                <w:sz w:val="18"/>
              </w:rPr>
              <w:t>1.0000</w:t>
            </w:r>
          </w:p>
        </w:tc>
      </w:tr>
    </w:tbl>
    <w:p/>
    <w:p>
      <w:r>
        <w:t>15 对组织队列的中位基因级符号一致率为 49.4%（图 4，表 S5）。这一总体汇总只作为背景，因为这些配对在组织部位和终点上不同。较大的基因数可以使很小的 50% 偏离也具有统计显著性，因此必须同时报告效应量与 p 值。</w:t>
      </w:r>
    </w:p>
    <w:p>
      <w:r>
        <w:t>完全匹配组织和终点的配对很少。完整的 exact-contrast 集只有 1 对（表 S16）：</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3216"/>
        <w:gridCol w:w="3216"/>
        <w:gridCol w:w="3216"/>
      </w:tblGrid>
      <w:tr>
        <w:trPr>
          <w:cantSplit/>
          <w:tblHeader w:val="true"/>
        </w:trPr>
        <w:tc>
          <w:tcPr>
            <w:tcW w:type="dxa" w:w="3931"/>
            <w:vAlign w:val="center"/>
            <w:shd w:fill="334E68"/>
          </w:tcPr>
          <w:p>
            <w:pPr>
              <w:jc w:val="left"/>
            </w:pPr>
            <w:r>
              <w:rPr>
                <w:b/>
                <w:color w:val="FFFFFF"/>
                <w:sz w:val="18"/>
              </w:rPr>
              <w:t>配对</w:t>
            </w:r>
          </w:p>
        </w:tc>
        <w:tc>
          <w:tcPr>
            <w:tcW w:type="dxa" w:w="2859"/>
            <w:vAlign w:val="center"/>
            <w:shd w:fill="334E68"/>
          </w:tcPr>
          <w:p>
            <w:pPr>
              <w:jc w:val="center"/>
            </w:pPr>
            <w:r>
              <w:rPr>
                <w:b/>
                <w:color w:val="FFFFFF"/>
                <w:sz w:val="18"/>
              </w:rPr>
              <w:t>基因数</w:t>
            </w:r>
          </w:p>
        </w:tc>
        <w:tc>
          <w:tcPr>
            <w:tcW w:type="dxa" w:w="2859"/>
            <w:vAlign w:val="center"/>
            <w:shd w:fill="334E68"/>
          </w:tcPr>
          <w:p>
            <w:pPr>
              <w:jc w:val="center"/>
            </w:pPr>
            <w:r>
              <w:rPr>
                <w:b/>
                <w:color w:val="FFFFFF"/>
                <w:sz w:val="18"/>
              </w:rPr>
              <w:t>一致率</w:t>
            </w:r>
          </w:p>
        </w:tc>
      </w:tr>
      <w:tr>
        <w:trPr>
          <w:cantSplit/>
        </w:trPr>
        <w:tc>
          <w:tcPr>
            <w:tcW w:type="dxa" w:w="3931"/>
            <w:vAlign w:val="center"/>
          </w:tcPr>
          <w:p>
            <w:pPr>
              <w:jc w:val="left"/>
            </w:pPr>
            <w:r>
              <w:rPr>
                <w:sz w:val="18"/>
              </w:rPr>
              <w:t>GSE186542 vs GSE167199</w:t>
            </w:r>
          </w:p>
        </w:tc>
        <w:tc>
          <w:tcPr>
            <w:tcW w:type="dxa" w:w="2859"/>
            <w:vAlign w:val="center"/>
          </w:tcPr>
          <w:p>
            <w:pPr>
              <w:jc w:val="center"/>
            </w:pPr>
            <w:r>
              <w:rPr>
                <w:sz w:val="18"/>
              </w:rPr>
              <w:t>13441</w:t>
            </w:r>
          </w:p>
        </w:tc>
        <w:tc>
          <w:tcPr>
            <w:tcW w:type="dxa" w:w="2859"/>
            <w:vAlign w:val="center"/>
          </w:tcPr>
          <w:p>
            <w:pPr>
              <w:jc w:val="center"/>
            </w:pPr>
            <w:r>
              <w:rPr>
                <w:sz w:val="18"/>
              </w:rPr>
              <w:t>58.6%</w:t>
            </w:r>
          </w:p>
        </w:tc>
      </w:tr>
    </w:tbl>
    <w:p/>
    <w:p>
      <w:r>
        <w:t>将要求放宽为同一组织部位和同一终点类别后，增加 3 对（表 S17）：</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3216"/>
        <w:gridCol w:w="3216"/>
        <w:gridCol w:w="3216"/>
      </w:tblGrid>
      <w:tr>
        <w:trPr>
          <w:cantSplit/>
          <w:tblHeader w:val="true"/>
        </w:trPr>
        <w:tc>
          <w:tcPr>
            <w:tcW w:type="dxa" w:w="3931"/>
            <w:vAlign w:val="center"/>
            <w:shd w:fill="334E68"/>
          </w:tcPr>
          <w:p>
            <w:pPr>
              <w:jc w:val="left"/>
            </w:pPr>
            <w:r>
              <w:rPr>
                <w:b/>
                <w:color w:val="FFFFFF"/>
                <w:sz w:val="18"/>
              </w:rPr>
              <w:t>配对</w:t>
            </w:r>
          </w:p>
        </w:tc>
        <w:tc>
          <w:tcPr>
            <w:tcW w:type="dxa" w:w="2859"/>
            <w:vAlign w:val="center"/>
            <w:shd w:fill="334E68"/>
          </w:tcPr>
          <w:p>
            <w:pPr>
              <w:jc w:val="center"/>
            </w:pPr>
            <w:r>
              <w:rPr>
                <w:b/>
                <w:color w:val="FFFFFF"/>
                <w:sz w:val="18"/>
              </w:rPr>
              <w:t>基因数</w:t>
            </w:r>
          </w:p>
        </w:tc>
        <w:tc>
          <w:tcPr>
            <w:tcW w:type="dxa" w:w="2859"/>
            <w:vAlign w:val="center"/>
            <w:shd w:fill="334E68"/>
          </w:tcPr>
          <w:p>
            <w:pPr>
              <w:jc w:val="center"/>
            </w:pPr>
            <w:r>
              <w:rPr>
                <w:b/>
                <w:color w:val="FFFFFF"/>
                <w:sz w:val="18"/>
              </w:rPr>
              <w:t>一致率</w:t>
            </w:r>
          </w:p>
        </w:tc>
      </w:tr>
      <w:tr>
        <w:trPr>
          <w:cantSplit/>
        </w:trPr>
        <w:tc>
          <w:tcPr>
            <w:tcW w:type="dxa" w:w="3931"/>
            <w:vAlign w:val="center"/>
          </w:tcPr>
          <w:p>
            <w:pPr>
              <w:jc w:val="left"/>
            </w:pPr>
            <w:r>
              <w:rPr>
                <w:sz w:val="18"/>
              </w:rPr>
              <w:t>GSE70362 vs GSE23130</w:t>
            </w:r>
          </w:p>
        </w:tc>
        <w:tc>
          <w:tcPr>
            <w:tcW w:type="dxa" w:w="2859"/>
            <w:vAlign w:val="center"/>
          </w:tcPr>
          <w:p>
            <w:pPr>
              <w:jc w:val="center"/>
            </w:pPr>
            <w:r>
              <w:rPr>
                <w:sz w:val="18"/>
              </w:rPr>
              <w:t>14004</w:t>
            </w:r>
          </w:p>
        </w:tc>
        <w:tc>
          <w:tcPr>
            <w:tcW w:type="dxa" w:w="2859"/>
            <w:vAlign w:val="center"/>
          </w:tcPr>
          <w:p>
            <w:pPr>
              <w:jc w:val="center"/>
            </w:pPr>
            <w:r>
              <w:rPr>
                <w:sz w:val="18"/>
              </w:rPr>
              <w:t>51.4%</w:t>
            </w:r>
          </w:p>
        </w:tc>
      </w:tr>
      <w:tr>
        <w:trPr>
          <w:cantSplit/>
        </w:trPr>
        <w:tc>
          <w:tcPr>
            <w:tcW w:type="dxa" w:w="3931"/>
            <w:vAlign w:val="center"/>
            <w:shd w:fill="F2F4F7"/>
          </w:tcPr>
          <w:p>
            <w:pPr>
              <w:jc w:val="left"/>
            </w:pPr>
            <w:r>
              <w:rPr>
                <w:sz w:val="18"/>
              </w:rPr>
              <w:t>GSE186542 vs GSE207176</w:t>
            </w:r>
          </w:p>
        </w:tc>
        <w:tc>
          <w:tcPr>
            <w:tcW w:type="dxa" w:w="2859"/>
            <w:vAlign w:val="center"/>
            <w:shd w:fill="F2F4F7"/>
          </w:tcPr>
          <w:p>
            <w:pPr>
              <w:jc w:val="center"/>
            </w:pPr>
            <w:r>
              <w:rPr>
                <w:sz w:val="18"/>
              </w:rPr>
              <w:t>13563</w:t>
            </w:r>
          </w:p>
        </w:tc>
        <w:tc>
          <w:tcPr>
            <w:tcW w:type="dxa" w:w="2859"/>
            <w:vAlign w:val="center"/>
            <w:shd w:fill="F2F4F7"/>
          </w:tcPr>
          <w:p>
            <w:pPr>
              <w:jc w:val="center"/>
            </w:pPr>
            <w:r>
              <w:rPr>
                <w:sz w:val="18"/>
              </w:rPr>
              <w:t>42.5%</w:t>
            </w:r>
          </w:p>
        </w:tc>
      </w:tr>
      <w:tr>
        <w:trPr>
          <w:cantSplit/>
        </w:trPr>
        <w:tc>
          <w:tcPr>
            <w:tcW w:type="dxa" w:w="3931"/>
            <w:vAlign w:val="center"/>
          </w:tcPr>
          <w:p>
            <w:pPr>
              <w:jc w:val="left"/>
            </w:pPr>
            <w:r>
              <w:rPr>
                <w:sz w:val="18"/>
              </w:rPr>
              <w:t>GSE167199 vs GSE207176</w:t>
            </w:r>
          </w:p>
        </w:tc>
        <w:tc>
          <w:tcPr>
            <w:tcW w:type="dxa" w:w="2859"/>
            <w:vAlign w:val="center"/>
          </w:tcPr>
          <w:p>
            <w:pPr>
              <w:jc w:val="center"/>
            </w:pPr>
            <w:r>
              <w:rPr>
                <w:sz w:val="18"/>
              </w:rPr>
              <w:t>13827</w:t>
            </w:r>
          </w:p>
        </w:tc>
        <w:tc>
          <w:tcPr>
            <w:tcW w:type="dxa" w:w="2859"/>
            <w:vAlign w:val="center"/>
          </w:tcPr>
          <w:p>
            <w:pPr>
              <w:jc w:val="center"/>
            </w:pPr>
            <w:r>
              <w:rPr>
                <w:sz w:val="18"/>
              </w:rPr>
              <w:t>38.7%</w:t>
            </w:r>
          </w:p>
        </w:tc>
      </w:tr>
    </w:tbl>
    <w:p/>
    <w:p>
      <w:r>
        <w:t>完整 15 对表格保留在补充材料中，仅作为探索性背景。Exact-contrast 结果不与更宽泛的配对集合合并。</w:t>
      </w:r>
    </w:p>
    <w:p>
      <w:pPr>
        <w:pStyle w:val="Heading2"/>
        <w:keepNext/>
      </w:pPr>
      <w:r>
        <w:t>未发现可比的第三个纤维环严重度队列</w:t>
      </w:r>
    </w:p>
    <w:p>
      <w:r>
        <w:t>我们建立了具有明确准入层级的第三队列登记表（表 S20）。当前公共数据中不存在与主要纤维环 I–IV 级比较匹配的 Tier A 队列。</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4824"/>
        <w:gridCol w:w="4824"/>
      </w:tblGrid>
      <w:tr>
        <w:trPr>
          <w:cantSplit/>
          <w:tblHeader w:val="true"/>
        </w:trPr>
        <w:tc>
          <w:tcPr>
            <w:tcW w:type="dxa" w:w="5789"/>
            <w:vAlign w:val="center"/>
            <w:shd w:fill="334E68"/>
          </w:tcPr>
          <w:p>
            <w:pPr>
              <w:jc w:val="left"/>
            </w:pPr>
            <w:r>
              <w:rPr>
                <w:b/>
                <w:color w:val="FFFFFF"/>
                <w:sz w:val="18"/>
              </w:rPr>
              <w:t>Tier</w:t>
            </w:r>
          </w:p>
        </w:tc>
        <w:tc>
          <w:tcPr>
            <w:tcW w:type="dxa" w:w="3859"/>
            <w:vAlign w:val="center"/>
            <w:shd w:fill="334E68"/>
          </w:tcPr>
          <w:p>
            <w:pPr>
              <w:jc w:val="center"/>
            </w:pPr>
            <w:r>
              <w:rPr>
                <w:b/>
                <w:color w:val="FFFFFF"/>
                <w:sz w:val="18"/>
              </w:rPr>
              <w:t>数据集数量</w:t>
            </w:r>
          </w:p>
        </w:tc>
      </w:tr>
      <w:tr>
        <w:trPr>
          <w:cantSplit/>
        </w:trPr>
        <w:tc>
          <w:tcPr>
            <w:tcW w:type="dxa" w:w="5789"/>
            <w:vAlign w:val="center"/>
          </w:tcPr>
          <w:p>
            <w:pPr>
              <w:jc w:val="left"/>
            </w:pPr>
            <w:r>
              <w:rPr>
                <w:sz w:val="18"/>
              </w:rPr>
              <w:t>B</w:t>
            </w:r>
          </w:p>
        </w:tc>
        <w:tc>
          <w:tcPr>
            <w:tcW w:type="dxa" w:w="3859"/>
            <w:vAlign w:val="center"/>
          </w:tcPr>
          <w:p>
            <w:pPr>
              <w:jc w:val="center"/>
            </w:pPr>
            <w:r>
              <w:rPr>
                <w:sz w:val="18"/>
              </w:rPr>
              <w:t>2</w:t>
            </w:r>
          </w:p>
        </w:tc>
      </w:tr>
      <w:tr>
        <w:trPr>
          <w:cantSplit/>
        </w:trPr>
        <w:tc>
          <w:tcPr>
            <w:tcW w:type="dxa" w:w="5789"/>
            <w:vAlign w:val="center"/>
            <w:shd w:fill="F2F4F7"/>
          </w:tcPr>
          <w:p>
            <w:pPr>
              <w:jc w:val="left"/>
            </w:pPr>
            <w:r>
              <w:rPr>
                <w:sz w:val="18"/>
              </w:rPr>
              <w:t>C</w:t>
            </w:r>
          </w:p>
        </w:tc>
        <w:tc>
          <w:tcPr>
            <w:tcW w:type="dxa" w:w="3859"/>
            <w:vAlign w:val="center"/>
            <w:shd w:fill="F2F4F7"/>
          </w:tcPr>
          <w:p>
            <w:pPr>
              <w:jc w:val="center"/>
            </w:pPr>
            <w:r>
              <w:rPr>
                <w:sz w:val="18"/>
              </w:rPr>
              <w:t>14</w:t>
            </w:r>
          </w:p>
        </w:tc>
      </w:tr>
      <w:tr>
        <w:trPr>
          <w:cantSplit/>
        </w:trPr>
        <w:tc>
          <w:tcPr>
            <w:tcW w:type="dxa" w:w="5789"/>
            <w:vAlign w:val="center"/>
          </w:tcPr>
          <w:p>
            <w:pPr>
              <w:jc w:val="left"/>
            </w:pPr>
            <w:r>
              <w:rPr>
                <w:sz w:val="18"/>
              </w:rPr>
              <w:t>core</w:t>
            </w:r>
          </w:p>
        </w:tc>
        <w:tc>
          <w:tcPr>
            <w:tcW w:type="dxa" w:w="3859"/>
            <w:vAlign w:val="center"/>
          </w:tcPr>
          <w:p>
            <w:pPr>
              <w:jc w:val="center"/>
            </w:pPr>
            <w:r>
              <w:rPr>
                <w:sz w:val="18"/>
              </w:rPr>
              <w:t>2</w:t>
            </w:r>
          </w:p>
        </w:tc>
      </w:tr>
      <w:tr>
        <w:trPr>
          <w:cantSplit/>
        </w:trPr>
        <w:tc>
          <w:tcPr>
            <w:tcW w:type="dxa" w:w="5789"/>
            <w:vAlign w:val="center"/>
            <w:shd w:fill="F2F4F7"/>
          </w:tcPr>
          <w:p>
            <w:pPr>
              <w:jc w:val="left"/>
            </w:pPr>
            <w:r>
              <w:rPr>
                <w:sz w:val="18"/>
              </w:rPr>
              <w:t>exclude</w:t>
            </w:r>
          </w:p>
        </w:tc>
        <w:tc>
          <w:tcPr>
            <w:tcW w:type="dxa" w:w="3859"/>
            <w:vAlign w:val="center"/>
            <w:shd w:fill="F2F4F7"/>
          </w:tcPr>
          <w:p>
            <w:pPr>
              <w:jc w:val="center"/>
            </w:pPr>
            <w:r>
              <w:rPr>
                <w:sz w:val="18"/>
              </w:rPr>
              <w:t>16</w:t>
            </w:r>
          </w:p>
        </w:tc>
      </w:tr>
      <w:tr>
        <w:trPr>
          <w:cantSplit/>
        </w:trPr>
        <w:tc>
          <w:tcPr>
            <w:tcW w:type="dxa" w:w="5789"/>
            <w:vAlign w:val="center"/>
          </w:tcPr>
          <w:p>
            <w:pPr>
              <w:jc w:val="left"/>
            </w:pPr>
            <w:r>
              <w:rPr>
                <w:sz w:val="18"/>
              </w:rPr>
              <w:t>unverified</w:t>
            </w:r>
          </w:p>
        </w:tc>
        <w:tc>
          <w:tcPr>
            <w:tcW w:type="dxa" w:w="3859"/>
            <w:vAlign w:val="center"/>
          </w:tcPr>
          <w:p>
            <w:pPr>
              <w:jc w:val="center"/>
            </w:pPr>
            <w:r>
              <w:rPr>
                <w:sz w:val="18"/>
              </w:rPr>
              <w:t>5</w:t>
            </w:r>
          </w:p>
        </w:tc>
      </w:tr>
    </w:tbl>
    <w:p/>
    <w:p>
      <w:r>
        <w:t>GSE176205 是髓核 bulk RNA-seq 队列，包含 3 个对照和 6 个退变样本，但其原始组间比较显示严重全局漂移：仅 25.6% 基因上调，中位效应为 -1.038。逐样本中位数中心化可以去除全局漂移，但 ECM 方向随后仅 16.7% 为正，与 GSE70362 髓核效应的基因级一致率为 44.8%（表 S18）。因此，该数据仅保留为特定对比的敏感性分析，而不是第三严重度队列。</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206"/>
        <w:gridCol w:w="1206"/>
        <w:gridCol w:w="1206"/>
        <w:gridCol w:w="1206"/>
        <w:gridCol w:w="1206"/>
        <w:gridCol w:w="1206"/>
        <w:gridCol w:w="1206"/>
        <w:gridCol w:w="1206"/>
      </w:tblGrid>
      <w:tr>
        <w:trPr>
          <w:cantSplit/>
          <w:tblHeader w:val="true"/>
        </w:trPr>
        <w:tc>
          <w:tcPr>
            <w:tcW w:type="dxa" w:w="1158"/>
            <w:vAlign w:val="center"/>
            <w:shd w:fill="334E68"/>
          </w:tcPr>
          <w:p>
            <w:pPr>
              <w:jc w:val="left"/>
            </w:pPr>
            <w:r>
              <w:rPr>
                <w:b/>
                <w:color w:val="FFFFFF"/>
                <w:sz w:val="14"/>
              </w:rPr>
              <w:t>模块</w:t>
            </w:r>
          </w:p>
        </w:tc>
        <w:tc>
          <w:tcPr>
            <w:tcW w:type="dxa" w:w="1029"/>
            <w:vAlign w:val="center"/>
            <w:shd w:fill="334E68"/>
          </w:tcPr>
          <w:p>
            <w:pPr>
              <w:jc w:val="center"/>
            </w:pPr>
            <w:r>
              <w:rPr>
                <w:b/>
                <w:color w:val="FFFFFF"/>
                <w:sz w:val="14"/>
              </w:rPr>
              <w:t>基因数</w:t>
            </w:r>
          </w:p>
        </w:tc>
        <w:tc>
          <w:tcPr>
            <w:tcW w:type="dxa" w:w="1415"/>
            <w:vAlign w:val="center"/>
            <w:shd w:fill="334E68"/>
          </w:tcPr>
          <w:p>
            <w:pPr>
              <w:jc w:val="center"/>
            </w:pPr>
            <w:r>
              <w:rPr>
                <w:b/>
                <w:color w:val="FFFFFF"/>
                <w:sz w:val="14"/>
              </w:rPr>
              <w:t>GSE176205 上调</w:t>
            </w:r>
          </w:p>
        </w:tc>
        <w:tc>
          <w:tcPr>
            <w:tcW w:type="dxa" w:w="1415"/>
            <w:vAlign w:val="center"/>
            <w:shd w:fill="334E68"/>
          </w:tcPr>
          <w:p>
            <w:pPr>
              <w:jc w:val="center"/>
            </w:pPr>
            <w:r>
              <w:rPr>
                <w:b/>
                <w:color w:val="FFFFFF"/>
                <w:sz w:val="14"/>
              </w:rPr>
              <w:t>GSE176205 中位效应</w:t>
            </w:r>
          </w:p>
        </w:tc>
        <w:tc>
          <w:tcPr>
            <w:tcW w:type="dxa" w:w="1286"/>
            <w:vAlign w:val="center"/>
            <w:shd w:fill="334E68"/>
          </w:tcPr>
          <w:p>
            <w:pPr>
              <w:jc w:val="center"/>
            </w:pPr>
            <w:r>
              <w:rPr>
                <w:b/>
                <w:color w:val="FFFFFF"/>
                <w:sz w:val="14"/>
              </w:rPr>
              <w:t>GSE70362 NP 上调</w:t>
            </w:r>
          </w:p>
        </w:tc>
        <w:tc>
          <w:tcPr>
            <w:tcW w:type="dxa" w:w="1286"/>
            <w:vAlign w:val="center"/>
            <w:shd w:fill="334E68"/>
          </w:tcPr>
          <w:p>
            <w:pPr>
              <w:jc w:val="center"/>
            </w:pPr>
            <w:r>
              <w:rPr>
                <w:b/>
                <w:color w:val="FFFFFF"/>
                <w:sz w:val="14"/>
              </w:rPr>
              <w:t>GSE70362 中位效应</w:t>
            </w:r>
          </w:p>
        </w:tc>
        <w:tc>
          <w:tcPr>
            <w:tcW w:type="dxa" w:w="1029"/>
            <w:vAlign w:val="center"/>
            <w:shd w:fill="334E68"/>
          </w:tcPr>
          <w:p>
            <w:pPr>
              <w:jc w:val="center"/>
            </w:pPr>
            <w:r>
              <w:rPr>
                <w:b/>
                <w:color w:val="FFFFFF"/>
                <w:sz w:val="14"/>
              </w:rPr>
              <w:t>一致率</w:t>
            </w:r>
          </w:p>
        </w:tc>
        <w:tc>
          <w:tcPr>
            <w:tcW w:type="dxa" w:w="1029"/>
            <w:vAlign w:val="center"/>
            <w:shd w:fill="334E68"/>
          </w:tcPr>
          <w:p>
            <w:pPr>
              <w:jc w:val="center"/>
            </w:pPr>
            <w:r>
              <w:rPr>
                <w:b/>
                <w:color w:val="FFFFFF"/>
                <w:sz w:val="14"/>
              </w:rPr>
              <w:t>效应 rho</w:t>
            </w:r>
          </w:p>
        </w:tc>
      </w:tr>
      <w:tr>
        <w:trPr>
          <w:cantSplit/>
        </w:trPr>
        <w:tc>
          <w:tcPr>
            <w:tcW w:type="dxa" w:w="1158"/>
            <w:vAlign w:val="center"/>
          </w:tcPr>
          <w:p>
            <w:pPr>
              <w:jc w:val="left"/>
            </w:pPr>
            <w:r>
              <w:rPr>
                <w:sz w:val="14"/>
              </w:rPr>
              <w:t>炎症/细胞因子</w:t>
            </w:r>
          </w:p>
        </w:tc>
        <w:tc>
          <w:tcPr>
            <w:tcW w:type="dxa" w:w="1029"/>
            <w:vAlign w:val="center"/>
          </w:tcPr>
          <w:p>
            <w:pPr>
              <w:jc w:val="center"/>
            </w:pPr>
            <w:r>
              <w:rPr>
                <w:sz w:val="14"/>
              </w:rPr>
              <w:t>27</w:t>
            </w:r>
          </w:p>
        </w:tc>
        <w:tc>
          <w:tcPr>
            <w:tcW w:type="dxa" w:w="1415"/>
            <w:vAlign w:val="center"/>
          </w:tcPr>
          <w:p>
            <w:pPr>
              <w:jc w:val="center"/>
            </w:pPr>
            <w:r>
              <w:rPr>
                <w:sz w:val="14"/>
              </w:rPr>
              <w:t>44.4%</w:t>
            </w:r>
          </w:p>
        </w:tc>
        <w:tc>
          <w:tcPr>
            <w:tcW w:type="dxa" w:w="1415"/>
            <w:vAlign w:val="center"/>
          </w:tcPr>
          <w:p>
            <w:pPr>
              <w:jc w:val="center"/>
            </w:pPr>
            <w:r>
              <w:rPr>
                <w:sz w:val="14"/>
              </w:rPr>
              <w:t>-0.222</w:t>
            </w:r>
          </w:p>
        </w:tc>
        <w:tc>
          <w:tcPr>
            <w:tcW w:type="dxa" w:w="1286"/>
            <w:vAlign w:val="center"/>
          </w:tcPr>
          <w:p>
            <w:pPr>
              <w:jc w:val="center"/>
            </w:pPr>
            <w:r>
              <w:rPr>
                <w:sz w:val="14"/>
              </w:rPr>
              <w:t>60.0%</w:t>
            </w:r>
          </w:p>
        </w:tc>
        <w:tc>
          <w:tcPr>
            <w:tcW w:type="dxa" w:w="1286"/>
            <w:vAlign w:val="center"/>
          </w:tcPr>
          <w:p>
            <w:pPr>
              <w:jc w:val="center"/>
            </w:pPr>
            <w:r>
              <w:rPr>
                <w:sz w:val="14"/>
              </w:rPr>
              <w:t>+0.010</w:t>
            </w:r>
          </w:p>
        </w:tc>
        <w:tc>
          <w:tcPr>
            <w:tcW w:type="dxa" w:w="1029"/>
            <w:vAlign w:val="center"/>
          </w:tcPr>
          <w:p>
            <w:pPr>
              <w:jc w:val="center"/>
            </w:pPr>
            <w:r>
              <w:rPr>
                <w:sz w:val="14"/>
              </w:rPr>
              <w:t>59.3%</w:t>
            </w:r>
          </w:p>
        </w:tc>
        <w:tc>
          <w:tcPr>
            <w:tcW w:type="dxa" w:w="1029"/>
            <w:vAlign w:val="center"/>
          </w:tcPr>
          <w:p>
            <w:pPr>
              <w:jc w:val="center"/>
            </w:pPr>
            <w:r>
              <w:rPr>
                <w:sz w:val="14"/>
              </w:rPr>
              <w:t>+0.031</w:t>
            </w:r>
          </w:p>
        </w:tc>
      </w:tr>
      <w:tr>
        <w:trPr>
          <w:cantSplit/>
        </w:trPr>
        <w:tc>
          <w:tcPr>
            <w:tcW w:type="dxa" w:w="1158"/>
            <w:vAlign w:val="center"/>
            <w:shd w:fill="F2F4F7"/>
          </w:tcPr>
          <w:p>
            <w:pPr>
              <w:jc w:val="left"/>
            </w:pPr>
            <w:r>
              <w:rPr>
                <w:sz w:val="14"/>
              </w:rPr>
              <w:t>血管生成/血管</w:t>
            </w:r>
          </w:p>
        </w:tc>
        <w:tc>
          <w:tcPr>
            <w:tcW w:type="dxa" w:w="1029"/>
            <w:vAlign w:val="center"/>
            <w:shd w:fill="F2F4F7"/>
          </w:tcPr>
          <w:p>
            <w:pPr>
              <w:jc w:val="center"/>
            </w:pPr>
            <w:r>
              <w:rPr>
                <w:sz w:val="14"/>
              </w:rPr>
              <w:t>17</w:t>
            </w:r>
          </w:p>
        </w:tc>
        <w:tc>
          <w:tcPr>
            <w:tcW w:type="dxa" w:w="1415"/>
            <w:vAlign w:val="center"/>
            <w:shd w:fill="F2F4F7"/>
          </w:tcPr>
          <w:p>
            <w:pPr>
              <w:jc w:val="center"/>
            </w:pPr>
            <w:r>
              <w:rPr>
                <w:sz w:val="14"/>
              </w:rPr>
              <w:t>41.2%</w:t>
            </w:r>
          </w:p>
        </w:tc>
        <w:tc>
          <w:tcPr>
            <w:tcW w:type="dxa" w:w="1415"/>
            <w:vAlign w:val="center"/>
            <w:shd w:fill="F2F4F7"/>
          </w:tcPr>
          <w:p>
            <w:pPr>
              <w:jc w:val="center"/>
            </w:pPr>
            <w:r>
              <w:rPr>
                <w:sz w:val="14"/>
              </w:rPr>
              <w:t>-0.424</w:t>
            </w:r>
          </w:p>
        </w:tc>
        <w:tc>
          <w:tcPr>
            <w:tcW w:type="dxa" w:w="1286"/>
            <w:vAlign w:val="center"/>
            <w:shd w:fill="F2F4F7"/>
          </w:tcPr>
          <w:p>
            <w:pPr>
              <w:jc w:val="center"/>
            </w:pPr>
            <w:r>
              <w:rPr>
                <w:sz w:val="14"/>
              </w:rPr>
              <w:t>72.2%</w:t>
            </w:r>
          </w:p>
        </w:tc>
        <w:tc>
          <w:tcPr>
            <w:tcW w:type="dxa" w:w="1286"/>
            <w:vAlign w:val="center"/>
            <w:shd w:fill="F2F4F7"/>
          </w:tcPr>
          <w:p>
            <w:pPr>
              <w:jc w:val="center"/>
            </w:pPr>
            <w:r>
              <w:rPr>
                <w:sz w:val="14"/>
              </w:rPr>
              <w:t>+0.036</w:t>
            </w:r>
          </w:p>
        </w:tc>
        <w:tc>
          <w:tcPr>
            <w:tcW w:type="dxa" w:w="1029"/>
            <w:vAlign w:val="center"/>
            <w:shd w:fill="F2F4F7"/>
          </w:tcPr>
          <w:p>
            <w:pPr>
              <w:jc w:val="center"/>
            </w:pPr>
            <w:r>
              <w:rPr>
                <w:sz w:val="14"/>
              </w:rPr>
              <w:t>58.8%</w:t>
            </w:r>
          </w:p>
        </w:tc>
        <w:tc>
          <w:tcPr>
            <w:tcW w:type="dxa" w:w="1029"/>
            <w:vAlign w:val="center"/>
            <w:shd w:fill="F2F4F7"/>
          </w:tcPr>
          <w:p>
            <w:pPr>
              <w:jc w:val="center"/>
            </w:pPr>
            <w:r>
              <w:rPr>
                <w:sz w:val="14"/>
              </w:rPr>
              <w:t>-0.029</w:t>
            </w:r>
          </w:p>
        </w:tc>
      </w:tr>
      <w:tr>
        <w:trPr>
          <w:cantSplit/>
        </w:trPr>
        <w:tc>
          <w:tcPr>
            <w:tcW w:type="dxa" w:w="1158"/>
            <w:vAlign w:val="center"/>
          </w:tcPr>
          <w:p>
            <w:pPr>
              <w:jc w:val="left"/>
            </w:pPr>
            <w:r>
              <w:rPr>
                <w:sz w:val="14"/>
              </w:rPr>
              <w:t>巨噬细胞/髓系</w:t>
            </w:r>
          </w:p>
        </w:tc>
        <w:tc>
          <w:tcPr>
            <w:tcW w:type="dxa" w:w="1029"/>
            <w:vAlign w:val="center"/>
          </w:tcPr>
          <w:p>
            <w:pPr>
              <w:jc w:val="center"/>
            </w:pPr>
            <w:r>
              <w:rPr>
                <w:sz w:val="14"/>
              </w:rPr>
              <w:t>18</w:t>
            </w:r>
          </w:p>
        </w:tc>
        <w:tc>
          <w:tcPr>
            <w:tcW w:type="dxa" w:w="1415"/>
            <w:vAlign w:val="center"/>
          </w:tcPr>
          <w:p>
            <w:pPr>
              <w:jc w:val="center"/>
            </w:pPr>
            <w:r>
              <w:rPr>
                <w:sz w:val="14"/>
              </w:rPr>
              <w:t>50.0%</w:t>
            </w:r>
          </w:p>
        </w:tc>
        <w:tc>
          <w:tcPr>
            <w:tcW w:type="dxa" w:w="1415"/>
            <w:vAlign w:val="center"/>
          </w:tcPr>
          <w:p>
            <w:pPr>
              <w:jc w:val="center"/>
            </w:pPr>
            <w:r>
              <w:rPr>
                <w:sz w:val="14"/>
              </w:rPr>
              <w:t>+0.066</w:t>
            </w:r>
          </w:p>
        </w:tc>
        <w:tc>
          <w:tcPr>
            <w:tcW w:type="dxa" w:w="1286"/>
            <w:vAlign w:val="center"/>
          </w:tcPr>
          <w:p>
            <w:pPr>
              <w:jc w:val="center"/>
            </w:pPr>
            <w:r>
              <w:rPr>
                <w:sz w:val="14"/>
              </w:rPr>
              <w:t>68.4%</w:t>
            </w:r>
          </w:p>
        </w:tc>
        <w:tc>
          <w:tcPr>
            <w:tcW w:type="dxa" w:w="1286"/>
            <w:vAlign w:val="center"/>
          </w:tcPr>
          <w:p>
            <w:pPr>
              <w:jc w:val="center"/>
            </w:pPr>
            <w:r>
              <w:rPr>
                <w:sz w:val="14"/>
              </w:rPr>
              <w:t>+0.016</w:t>
            </w:r>
          </w:p>
        </w:tc>
        <w:tc>
          <w:tcPr>
            <w:tcW w:type="dxa" w:w="1029"/>
            <w:vAlign w:val="center"/>
          </w:tcPr>
          <w:p>
            <w:pPr>
              <w:jc w:val="center"/>
            </w:pPr>
            <w:r>
              <w:rPr>
                <w:sz w:val="14"/>
              </w:rPr>
              <w:t>55.6%</w:t>
            </w:r>
          </w:p>
        </w:tc>
        <w:tc>
          <w:tcPr>
            <w:tcW w:type="dxa" w:w="1029"/>
            <w:vAlign w:val="center"/>
          </w:tcPr>
          <w:p>
            <w:pPr>
              <w:jc w:val="center"/>
            </w:pPr>
            <w:r>
              <w:rPr>
                <w:sz w:val="14"/>
              </w:rPr>
              <w:t>+0.480</w:t>
            </w:r>
          </w:p>
        </w:tc>
      </w:tr>
      <w:tr>
        <w:trPr>
          <w:cantSplit/>
        </w:trPr>
        <w:tc>
          <w:tcPr>
            <w:tcW w:type="dxa" w:w="1158"/>
            <w:vAlign w:val="center"/>
            <w:shd w:fill="F2F4F7"/>
          </w:tcPr>
          <w:p>
            <w:pPr>
              <w:jc w:val="left"/>
            </w:pPr>
            <w:r>
              <w:rPr>
                <w:sz w:val="14"/>
              </w:rPr>
              <w:t>免疫激活</w:t>
            </w:r>
          </w:p>
        </w:tc>
        <w:tc>
          <w:tcPr>
            <w:tcW w:type="dxa" w:w="1029"/>
            <w:vAlign w:val="center"/>
            <w:shd w:fill="F2F4F7"/>
          </w:tcPr>
          <w:p>
            <w:pPr>
              <w:jc w:val="center"/>
            </w:pPr>
            <w:r>
              <w:rPr>
                <w:sz w:val="14"/>
              </w:rPr>
              <w:t>30</w:t>
            </w:r>
          </w:p>
        </w:tc>
        <w:tc>
          <w:tcPr>
            <w:tcW w:type="dxa" w:w="1415"/>
            <w:vAlign w:val="center"/>
            <w:shd w:fill="F2F4F7"/>
          </w:tcPr>
          <w:p>
            <w:pPr>
              <w:jc w:val="center"/>
            </w:pPr>
            <w:r>
              <w:rPr>
                <w:sz w:val="14"/>
              </w:rPr>
              <w:t>43.3%</w:t>
            </w:r>
          </w:p>
        </w:tc>
        <w:tc>
          <w:tcPr>
            <w:tcW w:type="dxa" w:w="1415"/>
            <w:vAlign w:val="center"/>
            <w:shd w:fill="F2F4F7"/>
          </w:tcPr>
          <w:p>
            <w:pPr>
              <w:jc w:val="center"/>
            </w:pPr>
            <w:r>
              <w:rPr>
                <w:sz w:val="14"/>
              </w:rPr>
              <w:t>-0.058</w:t>
            </w:r>
          </w:p>
        </w:tc>
        <w:tc>
          <w:tcPr>
            <w:tcW w:type="dxa" w:w="1286"/>
            <w:vAlign w:val="center"/>
            <w:shd w:fill="F2F4F7"/>
          </w:tcPr>
          <w:p>
            <w:pPr>
              <w:jc w:val="center"/>
            </w:pPr>
            <w:r>
              <w:rPr>
                <w:sz w:val="14"/>
              </w:rPr>
              <w:t>51.6%</w:t>
            </w:r>
          </w:p>
        </w:tc>
        <w:tc>
          <w:tcPr>
            <w:tcW w:type="dxa" w:w="1286"/>
            <w:vAlign w:val="center"/>
            <w:shd w:fill="F2F4F7"/>
          </w:tcPr>
          <w:p>
            <w:pPr>
              <w:jc w:val="center"/>
            </w:pPr>
            <w:r>
              <w:rPr>
                <w:sz w:val="14"/>
              </w:rPr>
              <w:t>+0.004</w:t>
            </w:r>
          </w:p>
        </w:tc>
        <w:tc>
          <w:tcPr>
            <w:tcW w:type="dxa" w:w="1029"/>
            <w:vAlign w:val="center"/>
            <w:shd w:fill="F2F4F7"/>
          </w:tcPr>
          <w:p>
            <w:pPr>
              <w:jc w:val="center"/>
            </w:pPr>
            <w:r>
              <w:rPr>
                <w:sz w:val="14"/>
              </w:rPr>
              <w:t>53.3%</w:t>
            </w:r>
          </w:p>
        </w:tc>
        <w:tc>
          <w:tcPr>
            <w:tcW w:type="dxa" w:w="1029"/>
            <w:vAlign w:val="center"/>
            <w:shd w:fill="F2F4F7"/>
          </w:tcPr>
          <w:p>
            <w:pPr>
              <w:jc w:val="center"/>
            </w:pPr>
            <w:r>
              <w:rPr>
                <w:sz w:val="14"/>
              </w:rPr>
              <w:t>+0.058</w:t>
            </w:r>
          </w:p>
        </w:tc>
      </w:tr>
      <w:tr>
        <w:trPr>
          <w:cantSplit/>
        </w:trPr>
        <w:tc>
          <w:tcPr>
            <w:tcW w:type="dxa" w:w="1158"/>
            <w:vAlign w:val="center"/>
          </w:tcPr>
          <w:p>
            <w:pPr>
              <w:jc w:val="left"/>
            </w:pPr>
            <w:r>
              <w:rPr>
                <w:sz w:val="14"/>
              </w:rPr>
              <w:t>ECM 重塑</w:t>
            </w:r>
          </w:p>
        </w:tc>
        <w:tc>
          <w:tcPr>
            <w:tcW w:type="dxa" w:w="1029"/>
            <w:vAlign w:val="center"/>
          </w:tcPr>
          <w:p>
            <w:pPr>
              <w:jc w:val="center"/>
            </w:pPr>
            <w:r>
              <w:rPr>
                <w:sz w:val="14"/>
              </w:rPr>
              <w:t>29</w:t>
            </w:r>
          </w:p>
        </w:tc>
        <w:tc>
          <w:tcPr>
            <w:tcW w:type="dxa" w:w="1415"/>
            <w:vAlign w:val="center"/>
          </w:tcPr>
          <w:p>
            <w:pPr>
              <w:jc w:val="center"/>
            </w:pPr>
            <w:r>
              <w:rPr>
                <w:sz w:val="14"/>
              </w:rPr>
              <w:t>16.7%</w:t>
            </w:r>
          </w:p>
        </w:tc>
        <w:tc>
          <w:tcPr>
            <w:tcW w:type="dxa" w:w="1415"/>
            <w:vAlign w:val="center"/>
          </w:tcPr>
          <w:p>
            <w:pPr>
              <w:jc w:val="center"/>
            </w:pPr>
            <w:r>
              <w:rPr>
                <w:sz w:val="14"/>
              </w:rPr>
              <w:t>-0.557</w:t>
            </w:r>
          </w:p>
        </w:tc>
        <w:tc>
          <w:tcPr>
            <w:tcW w:type="dxa" w:w="1286"/>
            <w:vAlign w:val="center"/>
          </w:tcPr>
          <w:p>
            <w:pPr>
              <w:jc w:val="center"/>
            </w:pPr>
            <w:r>
              <w:rPr>
                <w:sz w:val="14"/>
              </w:rPr>
              <w:t>56.7%</w:t>
            </w:r>
          </w:p>
        </w:tc>
        <w:tc>
          <w:tcPr>
            <w:tcW w:type="dxa" w:w="1286"/>
            <w:vAlign w:val="center"/>
          </w:tcPr>
          <w:p>
            <w:pPr>
              <w:jc w:val="center"/>
            </w:pPr>
            <w:r>
              <w:rPr>
                <w:sz w:val="14"/>
              </w:rPr>
              <w:t>+0.007</w:t>
            </w:r>
          </w:p>
        </w:tc>
        <w:tc>
          <w:tcPr>
            <w:tcW w:type="dxa" w:w="1029"/>
            <w:vAlign w:val="center"/>
          </w:tcPr>
          <w:p>
            <w:pPr>
              <w:jc w:val="center"/>
            </w:pPr>
            <w:r>
              <w:rPr>
                <w:sz w:val="14"/>
              </w:rPr>
              <w:t>44.8%</w:t>
            </w:r>
          </w:p>
        </w:tc>
        <w:tc>
          <w:tcPr>
            <w:tcW w:type="dxa" w:w="1029"/>
            <w:vAlign w:val="center"/>
          </w:tcPr>
          <w:p>
            <w:pPr>
              <w:jc w:val="center"/>
            </w:pPr>
            <w:r>
              <w:rPr>
                <w:sz w:val="14"/>
              </w:rPr>
              <w:t>+0.231</w:t>
            </w:r>
          </w:p>
        </w:tc>
      </w:tr>
      <w:tr>
        <w:trPr>
          <w:cantSplit/>
        </w:trPr>
        <w:tc>
          <w:tcPr>
            <w:tcW w:type="dxa" w:w="1158"/>
            <w:vAlign w:val="center"/>
            <w:shd w:fill="F2F4F7"/>
          </w:tcPr>
          <w:p>
            <w:pPr>
              <w:jc w:val="left"/>
            </w:pPr>
            <w:r>
              <w:rPr>
                <w:sz w:val="14"/>
              </w:rPr>
              <w:t>凋亡/自噬</w:t>
            </w:r>
          </w:p>
        </w:tc>
        <w:tc>
          <w:tcPr>
            <w:tcW w:type="dxa" w:w="1029"/>
            <w:vAlign w:val="center"/>
            <w:shd w:fill="F2F4F7"/>
          </w:tcPr>
          <w:p>
            <w:pPr>
              <w:jc w:val="center"/>
            </w:pPr>
            <w:r>
              <w:rPr>
                <w:sz w:val="14"/>
              </w:rPr>
              <w:t>26</w:t>
            </w:r>
          </w:p>
        </w:tc>
        <w:tc>
          <w:tcPr>
            <w:tcW w:type="dxa" w:w="1415"/>
            <w:vAlign w:val="center"/>
            <w:shd w:fill="F2F4F7"/>
          </w:tcPr>
          <w:p>
            <w:pPr>
              <w:jc w:val="center"/>
            </w:pPr>
            <w:r>
              <w:rPr>
                <w:sz w:val="14"/>
              </w:rPr>
              <w:t>34.6%</w:t>
            </w:r>
          </w:p>
        </w:tc>
        <w:tc>
          <w:tcPr>
            <w:tcW w:type="dxa" w:w="1415"/>
            <w:vAlign w:val="center"/>
            <w:shd w:fill="F2F4F7"/>
          </w:tcPr>
          <w:p>
            <w:pPr>
              <w:jc w:val="center"/>
            </w:pPr>
            <w:r>
              <w:rPr>
                <w:sz w:val="14"/>
              </w:rPr>
              <w:t>-0.392</w:t>
            </w:r>
          </w:p>
        </w:tc>
        <w:tc>
          <w:tcPr>
            <w:tcW w:type="dxa" w:w="1286"/>
            <w:vAlign w:val="center"/>
            <w:shd w:fill="F2F4F7"/>
          </w:tcPr>
          <w:p>
            <w:pPr>
              <w:jc w:val="center"/>
            </w:pPr>
            <w:r>
              <w:rPr>
                <w:sz w:val="14"/>
              </w:rPr>
              <w:t>50.0%</w:t>
            </w:r>
          </w:p>
        </w:tc>
        <w:tc>
          <w:tcPr>
            <w:tcW w:type="dxa" w:w="1286"/>
            <w:vAlign w:val="center"/>
            <w:shd w:fill="F2F4F7"/>
          </w:tcPr>
          <w:p>
            <w:pPr>
              <w:jc w:val="center"/>
            </w:pPr>
            <w:r>
              <w:rPr>
                <w:sz w:val="14"/>
              </w:rPr>
              <w:t>+0.005</w:t>
            </w:r>
          </w:p>
        </w:tc>
        <w:tc>
          <w:tcPr>
            <w:tcW w:type="dxa" w:w="1029"/>
            <w:vAlign w:val="center"/>
            <w:shd w:fill="F2F4F7"/>
          </w:tcPr>
          <w:p>
            <w:pPr>
              <w:jc w:val="center"/>
            </w:pPr>
            <w:r>
              <w:rPr>
                <w:sz w:val="14"/>
              </w:rPr>
              <w:t>38.5%</w:t>
            </w:r>
          </w:p>
        </w:tc>
        <w:tc>
          <w:tcPr>
            <w:tcW w:type="dxa" w:w="1029"/>
            <w:vAlign w:val="center"/>
            <w:shd w:fill="F2F4F7"/>
          </w:tcPr>
          <w:p>
            <w:pPr>
              <w:jc w:val="center"/>
            </w:pPr>
            <w:r>
              <w:rPr>
                <w:sz w:val="14"/>
              </w:rPr>
              <w:t>-0.117</w:t>
            </w:r>
          </w:p>
        </w:tc>
      </w:tr>
      <w:tr>
        <w:trPr>
          <w:cantSplit/>
        </w:trPr>
        <w:tc>
          <w:tcPr>
            <w:tcW w:type="dxa" w:w="1158"/>
            <w:vAlign w:val="center"/>
          </w:tcPr>
          <w:p>
            <w:pPr>
              <w:jc w:val="left"/>
            </w:pPr>
            <w:r>
              <w:rPr>
                <w:sz w:val="14"/>
              </w:rPr>
              <w:t>黏附/细胞骨架</w:t>
            </w:r>
          </w:p>
        </w:tc>
        <w:tc>
          <w:tcPr>
            <w:tcW w:type="dxa" w:w="1029"/>
            <w:vAlign w:val="center"/>
          </w:tcPr>
          <w:p>
            <w:pPr>
              <w:jc w:val="center"/>
            </w:pPr>
            <w:r>
              <w:rPr>
                <w:sz w:val="14"/>
              </w:rPr>
              <w:t>23</w:t>
            </w:r>
          </w:p>
        </w:tc>
        <w:tc>
          <w:tcPr>
            <w:tcW w:type="dxa" w:w="1415"/>
            <w:vAlign w:val="center"/>
          </w:tcPr>
          <w:p>
            <w:pPr>
              <w:jc w:val="center"/>
            </w:pPr>
            <w:r>
              <w:rPr>
                <w:sz w:val="14"/>
              </w:rPr>
              <w:t>58.3%</w:t>
            </w:r>
          </w:p>
        </w:tc>
        <w:tc>
          <w:tcPr>
            <w:tcW w:type="dxa" w:w="1415"/>
            <w:vAlign w:val="center"/>
          </w:tcPr>
          <w:p>
            <w:pPr>
              <w:jc w:val="center"/>
            </w:pPr>
            <w:r>
              <w:rPr>
                <w:sz w:val="14"/>
              </w:rPr>
              <w:t>+0.265</w:t>
            </w:r>
          </w:p>
        </w:tc>
        <w:tc>
          <w:tcPr>
            <w:tcW w:type="dxa" w:w="1286"/>
            <w:vAlign w:val="center"/>
          </w:tcPr>
          <w:p>
            <w:pPr>
              <w:jc w:val="center"/>
            </w:pPr>
            <w:r>
              <w:rPr>
                <w:sz w:val="14"/>
              </w:rPr>
              <w:t>39.1%</w:t>
            </w:r>
          </w:p>
        </w:tc>
        <w:tc>
          <w:tcPr>
            <w:tcW w:type="dxa" w:w="1286"/>
            <w:vAlign w:val="center"/>
          </w:tcPr>
          <w:p>
            <w:pPr>
              <w:jc w:val="center"/>
            </w:pPr>
            <w:r>
              <w:rPr>
                <w:sz w:val="14"/>
              </w:rPr>
              <w:t>-0.016</w:t>
            </w:r>
          </w:p>
        </w:tc>
        <w:tc>
          <w:tcPr>
            <w:tcW w:type="dxa" w:w="1029"/>
            <w:vAlign w:val="center"/>
          </w:tcPr>
          <w:p>
            <w:pPr>
              <w:jc w:val="center"/>
            </w:pPr>
            <w:r>
              <w:rPr>
                <w:sz w:val="14"/>
              </w:rPr>
              <w:t>34.8%</w:t>
            </w:r>
          </w:p>
        </w:tc>
        <w:tc>
          <w:tcPr>
            <w:tcW w:type="dxa" w:w="1029"/>
            <w:vAlign w:val="center"/>
          </w:tcPr>
          <w:p>
            <w:pPr>
              <w:jc w:val="center"/>
            </w:pPr>
            <w:r>
              <w:rPr>
                <w:sz w:val="14"/>
              </w:rPr>
              <w:t>-0.139</w:t>
            </w:r>
          </w:p>
        </w:tc>
      </w:tr>
    </w:tbl>
    <w:p/>
    <w:p>
      <w:r>
        <w:t>GSE17077 曾被二手论文标注为 normal vs degenerated 纤维环，但官方设计已纠正为 senescent vs non-senescent 激光捕获纤维环细胞。8 个供者拥有配对的 senescent 和 non-senescent 样本。全局配对效应没有漂移，但 ECM 模块并未在 senescent 细胞中富集，41.9% 为正值（表 S19）。</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930"/>
        <w:gridCol w:w="1930"/>
        <w:gridCol w:w="1930"/>
        <w:gridCol w:w="1930"/>
        <w:gridCol w:w="1930"/>
      </w:tblGrid>
      <w:tr>
        <w:trPr>
          <w:cantSplit/>
          <w:tblHeader w:val="true"/>
        </w:trPr>
        <w:tc>
          <w:tcPr>
            <w:tcW w:type="dxa" w:w="1973"/>
            <w:vAlign w:val="center"/>
            <w:shd w:fill="334E68"/>
          </w:tcPr>
          <w:p>
            <w:pPr>
              <w:jc w:val="left"/>
            </w:pPr>
            <w:r>
              <w:rPr>
                <w:b/>
                <w:color w:val="FFFFFF"/>
                <w:sz w:val="18"/>
              </w:rPr>
              <w:t>模块</w:t>
            </w:r>
          </w:p>
        </w:tc>
        <w:tc>
          <w:tcPr>
            <w:tcW w:type="dxa" w:w="1754"/>
            <w:vAlign w:val="center"/>
            <w:shd w:fill="334E68"/>
          </w:tcPr>
          <w:p>
            <w:pPr>
              <w:jc w:val="center"/>
            </w:pPr>
            <w:r>
              <w:rPr>
                <w:b/>
                <w:color w:val="FFFFFF"/>
                <w:sz w:val="18"/>
              </w:rPr>
              <w:t>基因数</w:t>
            </w:r>
          </w:p>
        </w:tc>
        <w:tc>
          <w:tcPr>
            <w:tcW w:type="dxa" w:w="2412"/>
            <w:vAlign w:val="center"/>
            <w:shd w:fill="334E68"/>
          </w:tcPr>
          <w:p>
            <w:pPr>
              <w:jc w:val="center"/>
            </w:pPr>
            <w:r>
              <w:rPr>
                <w:b/>
                <w:color w:val="FFFFFF"/>
                <w:sz w:val="18"/>
              </w:rPr>
              <w:t>Senescent 上调</w:t>
            </w:r>
          </w:p>
        </w:tc>
        <w:tc>
          <w:tcPr>
            <w:tcW w:type="dxa" w:w="1754"/>
            <w:vAlign w:val="center"/>
            <w:shd w:fill="334E68"/>
          </w:tcPr>
          <w:p>
            <w:pPr>
              <w:jc w:val="center"/>
            </w:pPr>
            <w:r>
              <w:rPr>
                <w:b/>
                <w:color w:val="FFFFFF"/>
                <w:sz w:val="18"/>
              </w:rPr>
              <w:t>中位效应</w:t>
            </w:r>
          </w:p>
        </w:tc>
        <w:tc>
          <w:tcPr>
            <w:tcW w:type="dxa" w:w="1754"/>
            <w:vAlign w:val="center"/>
            <w:shd w:fill="334E68"/>
          </w:tcPr>
          <w:p>
            <w:pPr>
              <w:jc w:val="center"/>
            </w:pPr>
            <w:r>
              <w:rPr>
                <w:b/>
                <w:color w:val="FFFFFF"/>
                <w:sz w:val="18"/>
              </w:rPr>
              <w:t>单侧 p</w:t>
            </w:r>
          </w:p>
        </w:tc>
      </w:tr>
      <w:tr>
        <w:trPr>
          <w:cantSplit/>
        </w:trPr>
        <w:tc>
          <w:tcPr>
            <w:tcW w:type="dxa" w:w="1973"/>
            <w:vAlign w:val="center"/>
          </w:tcPr>
          <w:p>
            <w:pPr>
              <w:jc w:val="left"/>
            </w:pPr>
            <w:r>
              <w:rPr>
                <w:sz w:val="18"/>
              </w:rPr>
              <w:t>血管生成/血管</w:t>
            </w:r>
          </w:p>
        </w:tc>
        <w:tc>
          <w:tcPr>
            <w:tcW w:type="dxa" w:w="1754"/>
            <w:vAlign w:val="center"/>
          </w:tcPr>
          <w:p>
            <w:pPr>
              <w:jc w:val="center"/>
            </w:pPr>
            <w:r>
              <w:rPr>
                <w:sz w:val="18"/>
              </w:rPr>
              <w:t>18</w:t>
            </w:r>
          </w:p>
        </w:tc>
        <w:tc>
          <w:tcPr>
            <w:tcW w:type="dxa" w:w="2412"/>
            <w:vAlign w:val="center"/>
          </w:tcPr>
          <w:p>
            <w:pPr>
              <w:jc w:val="center"/>
            </w:pPr>
            <w:r>
              <w:rPr>
                <w:sz w:val="18"/>
              </w:rPr>
              <w:t>44.4%</w:t>
            </w:r>
          </w:p>
        </w:tc>
        <w:tc>
          <w:tcPr>
            <w:tcW w:type="dxa" w:w="1754"/>
            <w:vAlign w:val="center"/>
          </w:tcPr>
          <w:p>
            <w:pPr>
              <w:jc w:val="center"/>
            </w:pPr>
            <w:r>
              <w:rPr>
                <w:sz w:val="18"/>
              </w:rPr>
              <w:t>-0.022</w:t>
            </w:r>
          </w:p>
        </w:tc>
        <w:tc>
          <w:tcPr>
            <w:tcW w:type="dxa" w:w="1754"/>
            <w:vAlign w:val="center"/>
          </w:tcPr>
          <w:p>
            <w:pPr>
              <w:jc w:val="center"/>
            </w:pPr>
            <w:r>
              <w:rPr>
                <w:sz w:val="18"/>
              </w:rPr>
              <w:t>0.7597</w:t>
            </w:r>
          </w:p>
        </w:tc>
      </w:tr>
      <w:tr>
        <w:trPr>
          <w:cantSplit/>
        </w:trPr>
        <w:tc>
          <w:tcPr>
            <w:tcW w:type="dxa" w:w="1973"/>
            <w:vAlign w:val="center"/>
            <w:shd w:fill="F2F4F7"/>
          </w:tcPr>
          <w:p>
            <w:pPr>
              <w:jc w:val="left"/>
            </w:pPr>
            <w:r>
              <w:rPr>
                <w:sz w:val="18"/>
              </w:rPr>
              <w:t>黏附/细胞骨架</w:t>
            </w:r>
          </w:p>
        </w:tc>
        <w:tc>
          <w:tcPr>
            <w:tcW w:type="dxa" w:w="1754"/>
            <w:vAlign w:val="center"/>
            <w:shd w:fill="F2F4F7"/>
          </w:tcPr>
          <w:p>
            <w:pPr>
              <w:jc w:val="center"/>
            </w:pPr>
            <w:r>
              <w:rPr>
                <w:sz w:val="18"/>
              </w:rPr>
              <w:t>24</w:t>
            </w:r>
          </w:p>
        </w:tc>
        <w:tc>
          <w:tcPr>
            <w:tcW w:type="dxa" w:w="2412"/>
            <w:vAlign w:val="center"/>
            <w:shd w:fill="F2F4F7"/>
          </w:tcPr>
          <w:p>
            <w:pPr>
              <w:jc w:val="center"/>
            </w:pPr>
            <w:r>
              <w:rPr>
                <w:sz w:val="18"/>
              </w:rPr>
              <w:t>41.7%</w:t>
            </w:r>
          </w:p>
        </w:tc>
        <w:tc>
          <w:tcPr>
            <w:tcW w:type="dxa" w:w="1754"/>
            <w:vAlign w:val="center"/>
            <w:shd w:fill="F2F4F7"/>
          </w:tcPr>
          <w:p>
            <w:pPr>
              <w:jc w:val="center"/>
            </w:pPr>
            <w:r>
              <w:rPr>
                <w:sz w:val="18"/>
              </w:rPr>
              <w:t>-0.008</w:t>
            </w:r>
          </w:p>
        </w:tc>
        <w:tc>
          <w:tcPr>
            <w:tcW w:type="dxa" w:w="1754"/>
            <w:vAlign w:val="center"/>
            <w:shd w:fill="F2F4F7"/>
          </w:tcPr>
          <w:p>
            <w:pPr>
              <w:jc w:val="center"/>
            </w:pPr>
            <w:r>
              <w:rPr>
                <w:sz w:val="18"/>
              </w:rPr>
              <w:t>0.8463</w:t>
            </w:r>
          </w:p>
        </w:tc>
      </w:tr>
      <w:tr>
        <w:trPr>
          <w:cantSplit/>
        </w:trPr>
        <w:tc>
          <w:tcPr>
            <w:tcW w:type="dxa" w:w="1973"/>
            <w:vAlign w:val="center"/>
          </w:tcPr>
          <w:p>
            <w:pPr>
              <w:jc w:val="left"/>
            </w:pPr>
            <w:r>
              <w:rPr>
                <w:sz w:val="18"/>
              </w:rPr>
              <w:t>免疫激活</w:t>
            </w:r>
          </w:p>
        </w:tc>
        <w:tc>
          <w:tcPr>
            <w:tcW w:type="dxa" w:w="1754"/>
            <w:vAlign w:val="center"/>
          </w:tcPr>
          <w:p>
            <w:pPr>
              <w:jc w:val="center"/>
            </w:pPr>
            <w:r>
              <w:rPr>
                <w:sz w:val="18"/>
              </w:rPr>
              <w:t>31</w:t>
            </w:r>
          </w:p>
        </w:tc>
        <w:tc>
          <w:tcPr>
            <w:tcW w:type="dxa" w:w="2412"/>
            <w:vAlign w:val="center"/>
          </w:tcPr>
          <w:p>
            <w:pPr>
              <w:jc w:val="center"/>
            </w:pPr>
            <w:r>
              <w:rPr>
                <w:sz w:val="18"/>
              </w:rPr>
              <w:t>41.9%</w:t>
            </w:r>
          </w:p>
        </w:tc>
        <w:tc>
          <w:tcPr>
            <w:tcW w:type="dxa" w:w="1754"/>
            <w:vAlign w:val="center"/>
          </w:tcPr>
          <w:p>
            <w:pPr>
              <w:jc w:val="center"/>
            </w:pPr>
            <w:r>
              <w:rPr>
                <w:sz w:val="18"/>
              </w:rPr>
              <w:t>-0.006</w:t>
            </w:r>
          </w:p>
        </w:tc>
        <w:tc>
          <w:tcPr>
            <w:tcW w:type="dxa" w:w="1754"/>
            <w:vAlign w:val="center"/>
          </w:tcPr>
          <w:p>
            <w:pPr>
              <w:jc w:val="center"/>
            </w:pPr>
            <w:r>
              <w:rPr>
                <w:sz w:val="18"/>
              </w:rPr>
              <w:t>0.8595</w:t>
            </w:r>
          </w:p>
        </w:tc>
      </w:tr>
      <w:tr>
        <w:trPr>
          <w:cantSplit/>
        </w:trPr>
        <w:tc>
          <w:tcPr>
            <w:tcW w:type="dxa" w:w="1973"/>
            <w:vAlign w:val="center"/>
            <w:shd w:fill="F2F4F7"/>
          </w:tcPr>
          <w:p>
            <w:pPr>
              <w:jc w:val="left"/>
            </w:pPr>
            <w:r>
              <w:rPr>
                <w:sz w:val="18"/>
              </w:rPr>
              <w:t>ECM 重塑</w:t>
            </w:r>
          </w:p>
        </w:tc>
        <w:tc>
          <w:tcPr>
            <w:tcW w:type="dxa" w:w="1754"/>
            <w:vAlign w:val="center"/>
            <w:shd w:fill="F2F4F7"/>
          </w:tcPr>
          <w:p>
            <w:pPr>
              <w:jc w:val="center"/>
            </w:pPr>
            <w:r>
              <w:rPr>
                <w:sz w:val="18"/>
              </w:rPr>
              <w:t>31</w:t>
            </w:r>
          </w:p>
        </w:tc>
        <w:tc>
          <w:tcPr>
            <w:tcW w:type="dxa" w:w="2412"/>
            <w:vAlign w:val="center"/>
            <w:shd w:fill="F2F4F7"/>
          </w:tcPr>
          <w:p>
            <w:pPr>
              <w:jc w:val="center"/>
            </w:pPr>
            <w:r>
              <w:rPr>
                <w:sz w:val="18"/>
              </w:rPr>
              <w:t>41.9%</w:t>
            </w:r>
          </w:p>
        </w:tc>
        <w:tc>
          <w:tcPr>
            <w:tcW w:type="dxa" w:w="1754"/>
            <w:vAlign w:val="center"/>
            <w:shd w:fill="F2F4F7"/>
          </w:tcPr>
          <w:p>
            <w:pPr>
              <w:jc w:val="center"/>
            </w:pPr>
            <w:r>
              <w:rPr>
                <w:sz w:val="18"/>
              </w:rPr>
              <w:t>-0.017</w:t>
            </w:r>
          </w:p>
        </w:tc>
        <w:tc>
          <w:tcPr>
            <w:tcW w:type="dxa" w:w="1754"/>
            <w:vAlign w:val="center"/>
            <w:shd w:fill="F2F4F7"/>
          </w:tcPr>
          <w:p>
            <w:pPr>
              <w:jc w:val="center"/>
            </w:pPr>
            <w:r>
              <w:rPr>
                <w:sz w:val="18"/>
              </w:rPr>
              <w:t>0.8595</w:t>
            </w:r>
          </w:p>
        </w:tc>
      </w:tr>
      <w:tr>
        <w:trPr>
          <w:cantSplit/>
        </w:trPr>
        <w:tc>
          <w:tcPr>
            <w:tcW w:type="dxa" w:w="1973"/>
            <w:vAlign w:val="center"/>
          </w:tcPr>
          <w:p>
            <w:pPr>
              <w:jc w:val="left"/>
            </w:pPr>
            <w:r>
              <w:rPr>
                <w:sz w:val="18"/>
              </w:rPr>
              <w:t>凋亡/自噬</w:t>
            </w:r>
          </w:p>
        </w:tc>
        <w:tc>
          <w:tcPr>
            <w:tcW w:type="dxa" w:w="1754"/>
            <w:vAlign w:val="center"/>
          </w:tcPr>
          <w:p>
            <w:pPr>
              <w:jc w:val="center"/>
            </w:pPr>
            <w:r>
              <w:rPr>
                <w:sz w:val="18"/>
              </w:rPr>
              <w:t>25</w:t>
            </w:r>
          </w:p>
        </w:tc>
        <w:tc>
          <w:tcPr>
            <w:tcW w:type="dxa" w:w="2412"/>
            <w:vAlign w:val="center"/>
          </w:tcPr>
          <w:p>
            <w:pPr>
              <w:jc w:val="center"/>
            </w:pPr>
            <w:r>
              <w:rPr>
                <w:sz w:val="18"/>
              </w:rPr>
              <w:t>40.0%</w:t>
            </w:r>
          </w:p>
        </w:tc>
        <w:tc>
          <w:tcPr>
            <w:tcW w:type="dxa" w:w="1754"/>
            <w:vAlign w:val="center"/>
          </w:tcPr>
          <w:p>
            <w:pPr>
              <w:jc w:val="center"/>
            </w:pPr>
            <w:r>
              <w:rPr>
                <w:sz w:val="18"/>
              </w:rPr>
              <w:t>-0.023</w:t>
            </w:r>
          </w:p>
        </w:tc>
        <w:tc>
          <w:tcPr>
            <w:tcW w:type="dxa" w:w="1754"/>
            <w:vAlign w:val="center"/>
          </w:tcPr>
          <w:p>
            <w:pPr>
              <w:jc w:val="center"/>
            </w:pPr>
            <w:r>
              <w:rPr>
                <w:sz w:val="18"/>
              </w:rPr>
              <w:t>0.8852</w:t>
            </w:r>
          </w:p>
        </w:tc>
      </w:tr>
      <w:tr>
        <w:trPr>
          <w:cantSplit/>
        </w:trPr>
        <w:tc>
          <w:tcPr>
            <w:tcW w:type="dxa" w:w="1973"/>
            <w:vAlign w:val="center"/>
            <w:shd w:fill="F2F4F7"/>
          </w:tcPr>
          <w:p>
            <w:pPr>
              <w:jc w:val="left"/>
            </w:pPr>
            <w:r>
              <w:rPr>
                <w:sz w:val="18"/>
              </w:rPr>
              <w:t>炎症/细胞因子</w:t>
            </w:r>
          </w:p>
        </w:tc>
        <w:tc>
          <w:tcPr>
            <w:tcW w:type="dxa" w:w="1754"/>
            <w:vAlign w:val="center"/>
            <w:shd w:fill="F2F4F7"/>
          </w:tcPr>
          <w:p>
            <w:pPr>
              <w:jc w:val="center"/>
            </w:pPr>
            <w:r>
              <w:rPr>
                <w:sz w:val="18"/>
              </w:rPr>
              <w:t>30</w:t>
            </w:r>
          </w:p>
        </w:tc>
        <w:tc>
          <w:tcPr>
            <w:tcW w:type="dxa" w:w="2412"/>
            <w:vAlign w:val="center"/>
            <w:shd w:fill="F2F4F7"/>
          </w:tcPr>
          <w:p>
            <w:pPr>
              <w:jc w:val="center"/>
            </w:pPr>
            <w:r>
              <w:rPr>
                <w:sz w:val="18"/>
              </w:rPr>
              <w:t>40.0%</w:t>
            </w:r>
          </w:p>
        </w:tc>
        <w:tc>
          <w:tcPr>
            <w:tcW w:type="dxa" w:w="1754"/>
            <w:vAlign w:val="center"/>
            <w:shd w:fill="F2F4F7"/>
          </w:tcPr>
          <w:p>
            <w:pPr>
              <w:jc w:val="center"/>
            </w:pPr>
            <w:r>
              <w:rPr>
                <w:sz w:val="18"/>
              </w:rPr>
              <w:t>-0.010</w:t>
            </w:r>
          </w:p>
        </w:tc>
        <w:tc>
          <w:tcPr>
            <w:tcW w:type="dxa" w:w="1754"/>
            <w:vAlign w:val="center"/>
            <w:shd w:fill="F2F4F7"/>
          </w:tcPr>
          <w:p>
            <w:pPr>
              <w:jc w:val="center"/>
            </w:pPr>
            <w:r>
              <w:rPr>
                <w:sz w:val="18"/>
              </w:rPr>
              <w:t>0.8998</w:t>
            </w:r>
          </w:p>
        </w:tc>
      </w:tr>
      <w:tr>
        <w:trPr>
          <w:cantSplit/>
        </w:trPr>
        <w:tc>
          <w:tcPr>
            <w:tcW w:type="dxa" w:w="1973"/>
            <w:vAlign w:val="center"/>
          </w:tcPr>
          <w:p>
            <w:pPr>
              <w:jc w:val="left"/>
            </w:pPr>
            <w:r>
              <w:rPr>
                <w:sz w:val="18"/>
              </w:rPr>
              <w:t>巨噬细胞/髓系</w:t>
            </w:r>
          </w:p>
        </w:tc>
        <w:tc>
          <w:tcPr>
            <w:tcW w:type="dxa" w:w="1754"/>
            <w:vAlign w:val="center"/>
          </w:tcPr>
          <w:p>
            <w:pPr>
              <w:jc w:val="center"/>
            </w:pPr>
            <w:r>
              <w:rPr>
                <w:sz w:val="18"/>
              </w:rPr>
              <w:t>20</w:t>
            </w:r>
          </w:p>
        </w:tc>
        <w:tc>
          <w:tcPr>
            <w:tcW w:type="dxa" w:w="2412"/>
            <w:vAlign w:val="center"/>
          </w:tcPr>
          <w:p>
            <w:pPr>
              <w:jc w:val="center"/>
            </w:pPr>
            <w:r>
              <w:rPr>
                <w:sz w:val="18"/>
              </w:rPr>
              <w:t>35.0%</w:t>
            </w:r>
          </w:p>
        </w:tc>
        <w:tc>
          <w:tcPr>
            <w:tcW w:type="dxa" w:w="1754"/>
            <w:vAlign w:val="center"/>
          </w:tcPr>
          <w:p>
            <w:pPr>
              <w:jc w:val="center"/>
            </w:pPr>
            <w:r>
              <w:rPr>
                <w:sz w:val="18"/>
              </w:rPr>
              <w:t>-0.008</w:t>
            </w:r>
          </w:p>
        </w:tc>
        <w:tc>
          <w:tcPr>
            <w:tcW w:type="dxa" w:w="1754"/>
            <w:vAlign w:val="center"/>
          </w:tcPr>
          <w:p>
            <w:pPr>
              <w:jc w:val="center"/>
            </w:pPr>
            <w:r>
              <w:rPr>
                <w:sz w:val="18"/>
              </w:rPr>
              <w:t>0.9423</w:t>
            </w:r>
          </w:p>
        </w:tc>
      </w:tr>
    </w:tbl>
    <w:p/>
    <w:p>
      <w:pPr>
        <w:pStyle w:val="Heading2"/>
        <w:keepNext/>
      </w:pPr>
      <w:r>
        <w:t>多队列措辞的 scoping 审计</w:t>
      </w:r>
    </w:p>
    <w:p>
      <w:r>
        <w:t>为检验这一报告问题在可获得的椎间盘文献中是否合理，我们对开放获取全文语料进行了语言层面的 scoping 审计（表 S21）。这不是系统综述，也不能建立患病率或领域占比。</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4824"/>
        <w:gridCol w:w="4824"/>
      </w:tblGrid>
      <w:tr>
        <w:trPr>
          <w:cantSplit/>
          <w:tblHeader w:val="true"/>
        </w:trPr>
        <w:tc>
          <w:tcPr>
            <w:tcW w:type="dxa" w:w="6292"/>
            <w:vAlign w:val="center"/>
            <w:shd w:fill="334E68"/>
          </w:tcPr>
          <w:p>
            <w:pPr>
              <w:jc w:val="left"/>
            </w:pPr>
            <w:r>
              <w:rPr>
                <w:b/>
                <w:color w:val="FFFFFF"/>
                <w:sz w:val="18"/>
              </w:rPr>
              <w:t>Scoping 指标</w:t>
            </w:r>
          </w:p>
        </w:tc>
        <w:tc>
          <w:tcPr>
            <w:tcW w:type="dxa" w:w="3356"/>
            <w:vAlign w:val="center"/>
            <w:shd w:fill="334E68"/>
          </w:tcPr>
          <w:p>
            <w:pPr>
              <w:jc w:val="center"/>
            </w:pPr>
            <w:r>
              <w:rPr>
                <w:b/>
                <w:color w:val="FFFFFF"/>
                <w:sz w:val="18"/>
              </w:rPr>
              <w:t>文章数</w:t>
            </w:r>
          </w:p>
        </w:tc>
      </w:tr>
      <w:tr>
        <w:trPr>
          <w:cantSplit/>
        </w:trPr>
        <w:tc>
          <w:tcPr>
            <w:tcW w:type="dxa" w:w="6292"/>
            <w:vAlign w:val="center"/>
          </w:tcPr>
          <w:p>
            <w:pPr>
              <w:jc w:val="left"/>
            </w:pPr>
            <w:r>
              <w:rPr>
                <w:sz w:val="18"/>
              </w:rPr>
              <w:t>语料中的开放获取文章</w:t>
            </w:r>
          </w:p>
        </w:tc>
        <w:tc>
          <w:tcPr>
            <w:tcW w:type="dxa" w:w="3356"/>
            <w:vAlign w:val="center"/>
          </w:tcPr>
          <w:p>
            <w:pPr>
              <w:jc w:val="center"/>
            </w:pPr>
            <w:r>
              <w:rPr>
                <w:sz w:val="18"/>
              </w:rPr>
              <w:t>95</w:t>
            </w:r>
          </w:p>
        </w:tc>
      </w:tr>
      <w:tr>
        <w:trPr>
          <w:cantSplit/>
        </w:trPr>
        <w:tc>
          <w:tcPr>
            <w:tcW w:type="dxa" w:w="6292"/>
            <w:vAlign w:val="center"/>
            <w:shd w:fill="F2F4F7"/>
          </w:tcPr>
          <w:p>
            <w:pPr>
              <w:jc w:val="left"/>
            </w:pPr>
            <w:r>
              <w:rPr>
                <w:sz w:val="18"/>
              </w:rPr>
              <w:t>使用多于一个 GSE</w:t>
            </w:r>
          </w:p>
        </w:tc>
        <w:tc>
          <w:tcPr>
            <w:tcW w:type="dxa" w:w="3356"/>
            <w:vAlign w:val="center"/>
            <w:shd w:fill="F2F4F7"/>
          </w:tcPr>
          <w:p>
            <w:pPr>
              <w:jc w:val="center"/>
            </w:pPr>
            <w:r>
              <w:rPr>
                <w:sz w:val="18"/>
              </w:rPr>
              <w:t>79</w:t>
            </w:r>
          </w:p>
        </w:tc>
      </w:tr>
      <w:tr>
        <w:trPr>
          <w:cantSplit/>
        </w:trPr>
        <w:tc>
          <w:tcPr>
            <w:tcW w:type="dxa" w:w="6292"/>
            <w:vAlign w:val="center"/>
          </w:tcPr>
          <w:p>
            <w:pPr>
              <w:jc w:val="left"/>
            </w:pPr>
            <w:r>
              <w:rPr>
                <w:sz w:val="18"/>
              </w:rPr>
              <w:t>出现“一致”类措辞</w:t>
            </w:r>
          </w:p>
        </w:tc>
        <w:tc>
          <w:tcPr>
            <w:tcW w:type="dxa" w:w="3356"/>
            <w:vAlign w:val="center"/>
          </w:tcPr>
          <w:p>
            <w:pPr>
              <w:jc w:val="center"/>
            </w:pPr>
            <w:r>
              <w:rPr>
                <w:sz w:val="18"/>
              </w:rPr>
              <w:t>71</w:t>
            </w:r>
          </w:p>
        </w:tc>
      </w:tr>
      <w:tr>
        <w:trPr>
          <w:cantSplit/>
        </w:trPr>
        <w:tc>
          <w:tcPr>
            <w:tcW w:type="dxa" w:w="6292"/>
            <w:vAlign w:val="center"/>
            <w:shd w:fill="F2F4F7"/>
          </w:tcPr>
          <w:p>
            <w:pPr>
              <w:jc w:val="left"/>
            </w:pPr>
            <w:r>
              <w:rPr>
                <w:sz w:val="18"/>
              </w:rPr>
              <w:t>多队列且出现“一致”类措辞</w:t>
            </w:r>
          </w:p>
        </w:tc>
        <w:tc>
          <w:tcPr>
            <w:tcW w:type="dxa" w:w="3356"/>
            <w:vAlign w:val="center"/>
            <w:shd w:fill="F2F4F7"/>
          </w:tcPr>
          <w:p>
            <w:pPr>
              <w:jc w:val="center"/>
            </w:pPr>
            <w:r>
              <w:rPr>
                <w:sz w:val="18"/>
              </w:rPr>
              <w:t>62</w:t>
            </w:r>
          </w:p>
        </w:tc>
      </w:tr>
      <w:tr>
        <w:trPr>
          <w:cantSplit/>
        </w:trPr>
        <w:tc>
          <w:tcPr>
            <w:tcW w:type="dxa" w:w="6292"/>
            <w:vAlign w:val="center"/>
          </w:tcPr>
          <w:p>
            <w:pPr>
              <w:jc w:val="left"/>
            </w:pPr>
            <w:r>
              <w:rPr>
                <w:sz w:val="18"/>
              </w:rPr>
              <w:t>明确描述基因级一致率</w:t>
            </w:r>
          </w:p>
        </w:tc>
        <w:tc>
          <w:tcPr>
            <w:tcW w:type="dxa" w:w="3356"/>
            <w:vAlign w:val="center"/>
          </w:tcPr>
          <w:p>
            <w:pPr>
              <w:jc w:val="center"/>
            </w:pPr>
            <w:r>
              <w:rPr>
                <w:sz w:val="18"/>
              </w:rPr>
              <w:t>0</w:t>
            </w:r>
          </w:p>
        </w:tc>
      </w:tr>
      <w:tr>
        <w:trPr>
          <w:cantSplit/>
        </w:trPr>
        <w:tc>
          <w:tcPr>
            <w:tcW w:type="dxa" w:w="6292"/>
            <w:vAlign w:val="center"/>
            <w:shd w:fill="F2F4F7"/>
          </w:tcPr>
          <w:p>
            <w:pPr>
              <w:jc w:val="left"/>
            </w:pPr>
            <w:r>
              <w:rPr>
                <w:sz w:val="18"/>
              </w:rPr>
              <w:t>提及 permutation</w:t>
            </w:r>
          </w:p>
        </w:tc>
        <w:tc>
          <w:tcPr>
            <w:tcW w:type="dxa" w:w="3356"/>
            <w:vAlign w:val="center"/>
            <w:shd w:fill="F2F4F7"/>
          </w:tcPr>
          <w:p>
            <w:pPr>
              <w:jc w:val="center"/>
            </w:pPr>
            <w:r>
              <w:rPr>
                <w:sz w:val="18"/>
              </w:rPr>
              <w:t>9</w:t>
            </w:r>
          </w:p>
        </w:tc>
      </w:tr>
      <w:tr>
        <w:trPr>
          <w:cantSplit/>
        </w:trPr>
        <w:tc>
          <w:tcPr>
            <w:tcW w:type="dxa" w:w="6292"/>
            <w:vAlign w:val="center"/>
          </w:tcPr>
          <w:p>
            <w:pPr>
              <w:jc w:val="left"/>
            </w:pPr>
            <w:r>
              <w:rPr>
                <w:sz w:val="18"/>
              </w:rPr>
              <w:t>提及 FDR</w:t>
            </w:r>
          </w:p>
        </w:tc>
        <w:tc>
          <w:tcPr>
            <w:tcW w:type="dxa" w:w="3356"/>
            <w:vAlign w:val="center"/>
          </w:tcPr>
          <w:p>
            <w:pPr>
              <w:jc w:val="center"/>
            </w:pPr>
            <w:r>
              <w:rPr>
                <w:sz w:val="18"/>
              </w:rPr>
              <w:t>35</w:t>
            </w:r>
          </w:p>
        </w:tc>
      </w:tr>
      <w:tr>
        <w:trPr>
          <w:cantSplit/>
        </w:trPr>
        <w:tc>
          <w:tcPr>
            <w:tcW w:type="dxa" w:w="6292"/>
            <w:vAlign w:val="center"/>
            <w:shd w:fill="F2F4F7"/>
          </w:tcPr>
          <w:p>
            <w:pPr>
              <w:jc w:val="left"/>
            </w:pPr>
            <w:r>
              <w:rPr>
                <w:sz w:val="18"/>
              </w:rPr>
              <w:t>提及 power</w:t>
            </w:r>
          </w:p>
        </w:tc>
        <w:tc>
          <w:tcPr>
            <w:tcW w:type="dxa" w:w="3356"/>
            <w:vAlign w:val="center"/>
            <w:shd w:fill="F2F4F7"/>
          </w:tcPr>
          <w:p>
            <w:pPr>
              <w:jc w:val="center"/>
            </w:pPr>
            <w:r>
              <w:rPr>
                <w:sz w:val="18"/>
              </w:rPr>
              <w:t>35</w:t>
            </w:r>
          </w:p>
        </w:tc>
      </w:tr>
    </w:tbl>
    <w:p/>
    <w:p>
      <w:r>
        <w:t>最稳健的解释是：多队列分析和“一致”类措辞在语料中常见，而明确使用基因级一致率语言的描述没有被检测到。某个短语缺失不能证明分析一定没有做，但它提示了报告缺口。</w:t>
      </w:r>
    </w:p>
    <w:p>
      <w:pPr>
        <w:pStyle w:val="Heading2"/>
        <w:keepNext/>
      </w:pPr>
      <w:r>
        <w:t>血液队列已重现，但不用于组织结论</w:t>
      </w:r>
    </w:p>
    <w:p>
      <w:r>
        <w:t>两个公开血液队列已从原始归档成功重建（表 S22），仅保留为跨组织探索背景。</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3216"/>
        <w:gridCol w:w="3216"/>
        <w:gridCol w:w="3216"/>
      </w:tblGrid>
      <w:tr>
        <w:trPr>
          <w:cantSplit/>
          <w:tblHeader w:val="true"/>
        </w:trPr>
        <w:tc>
          <w:tcPr>
            <w:tcW w:type="dxa" w:w="3538"/>
            <w:vAlign w:val="center"/>
            <w:shd w:fill="334E68"/>
          </w:tcPr>
          <w:p>
            <w:pPr>
              <w:jc w:val="left"/>
            </w:pPr>
            <w:r>
              <w:rPr>
                <w:b/>
                <w:color w:val="FFFFFF"/>
                <w:sz w:val="18"/>
              </w:rPr>
              <w:t>队列</w:t>
            </w:r>
          </w:p>
        </w:tc>
        <w:tc>
          <w:tcPr>
            <w:tcW w:type="dxa" w:w="3538"/>
            <w:vAlign w:val="center"/>
            <w:shd w:fill="334E68"/>
          </w:tcPr>
          <w:p>
            <w:pPr>
              <w:jc w:val="center"/>
            </w:pPr>
            <w:r>
              <w:rPr>
                <w:b/>
                <w:color w:val="FFFFFF"/>
                <w:sz w:val="18"/>
              </w:rPr>
              <w:t>设计</w:t>
            </w:r>
          </w:p>
        </w:tc>
        <w:tc>
          <w:tcPr>
            <w:tcW w:type="dxa" w:w="2573"/>
            <w:vAlign w:val="center"/>
            <w:shd w:fill="334E68"/>
          </w:tcPr>
          <w:p>
            <w:pPr>
              <w:jc w:val="center"/>
            </w:pPr>
            <w:r>
              <w:rPr>
                <w:b/>
                <w:color w:val="FFFFFF"/>
                <w:sz w:val="18"/>
              </w:rPr>
              <w:t>样本数</w:t>
            </w:r>
          </w:p>
        </w:tc>
      </w:tr>
      <w:tr>
        <w:trPr>
          <w:cantSplit/>
        </w:trPr>
        <w:tc>
          <w:tcPr>
            <w:tcW w:type="dxa" w:w="3538"/>
            <w:vAlign w:val="center"/>
          </w:tcPr>
          <w:p>
            <w:pPr>
              <w:jc w:val="left"/>
            </w:pPr>
            <w:r>
              <w:rPr>
                <w:sz w:val="18"/>
              </w:rPr>
              <w:t>GSE124272</w:t>
            </w:r>
          </w:p>
        </w:tc>
        <w:tc>
          <w:tcPr>
            <w:tcW w:type="dxa" w:w="3538"/>
            <w:vAlign w:val="center"/>
          </w:tcPr>
          <w:p>
            <w:pPr>
              <w:jc w:val="center"/>
            </w:pPr>
            <w:r>
              <w:rPr>
                <w:sz w:val="18"/>
              </w:rPr>
              <w:t>8 例 LDH vs 8 例健康</w:t>
            </w:r>
          </w:p>
        </w:tc>
        <w:tc>
          <w:tcPr>
            <w:tcW w:type="dxa" w:w="2573"/>
            <w:vAlign w:val="center"/>
          </w:tcPr>
          <w:p>
            <w:pPr>
              <w:jc w:val="center"/>
            </w:pPr>
            <w:r>
              <w:rPr>
                <w:sz w:val="18"/>
              </w:rPr>
              <w:t>16</w:t>
            </w:r>
          </w:p>
        </w:tc>
      </w:tr>
      <w:tr>
        <w:trPr>
          <w:cantSplit/>
        </w:trPr>
        <w:tc>
          <w:tcPr>
            <w:tcW w:type="dxa" w:w="3538"/>
            <w:vAlign w:val="center"/>
            <w:shd w:fill="F2F4F7"/>
          </w:tcPr>
          <w:p>
            <w:pPr>
              <w:jc w:val="left"/>
            </w:pPr>
            <w:r>
              <w:rPr>
                <w:sz w:val="18"/>
              </w:rPr>
              <w:t>GSE150408</w:t>
            </w:r>
          </w:p>
        </w:tc>
        <w:tc>
          <w:tcPr>
            <w:tcW w:type="dxa" w:w="3538"/>
            <w:vAlign w:val="center"/>
            <w:shd w:fill="F2F4F7"/>
          </w:tcPr>
          <w:p>
            <w:pPr>
              <w:jc w:val="center"/>
            </w:pPr>
            <w:r>
              <w:rPr>
                <w:sz w:val="18"/>
              </w:rPr>
              <w:t>42 例 IDD vs 17 例健康；另有 25 例 treatment</w:t>
            </w:r>
          </w:p>
        </w:tc>
        <w:tc>
          <w:tcPr>
            <w:tcW w:type="dxa" w:w="2573"/>
            <w:vAlign w:val="center"/>
            <w:shd w:fill="F2F4F7"/>
          </w:tcPr>
          <w:p>
            <w:pPr>
              <w:jc w:val="center"/>
            </w:pPr>
            <w:r>
              <w:rPr>
                <w:sz w:val="18"/>
              </w:rPr>
              <w:t>59</w:t>
            </w:r>
          </w:p>
        </w:tc>
      </w:tr>
      <w:tr>
        <w:trPr>
          <w:cantSplit/>
        </w:trPr>
        <w:tc>
          <w:tcPr>
            <w:tcW w:type="dxa" w:w="3538"/>
            <w:vAlign w:val="center"/>
          </w:tcPr>
          <w:p>
            <w:pPr>
              <w:jc w:val="left"/>
            </w:pPr>
            <w:r>
              <w:rPr>
                <w:sz w:val="18"/>
              </w:rPr>
              <w:t>GSE150408 未治疗</w:t>
            </w:r>
          </w:p>
        </w:tc>
        <w:tc>
          <w:tcPr>
            <w:tcW w:type="dxa" w:w="3538"/>
            <w:vAlign w:val="center"/>
          </w:tcPr>
          <w:p>
            <w:pPr>
              <w:jc w:val="center"/>
            </w:pPr>
            <w:r>
              <w:rPr>
                <w:sz w:val="18"/>
              </w:rPr>
              <w:t>17 例未治疗 IDD vs 17 例健康</w:t>
            </w:r>
          </w:p>
        </w:tc>
        <w:tc>
          <w:tcPr>
            <w:tcW w:type="dxa" w:w="2573"/>
            <w:vAlign w:val="center"/>
          </w:tcPr>
          <w:p>
            <w:pPr>
              <w:jc w:val="center"/>
            </w:pPr>
            <w:r>
              <w:rPr>
                <w:sz w:val="18"/>
              </w:rPr>
              <w:t>34</w:t>
            </w:r>
          </w:p>
        </w:tc>
      </w:tr>
    </w:tbl>
    <w:p/>
    <w:p>
      <w:pPr>
        <w:pStyle w:val="Heading1"/>
        <w:keepNext/>
      </w:pPr>
      <w:r>
        <w:t>讨论</w:t>
      </w:r>
    </w:p>
    <w:p>
      <w:pPr>
        <w:pStyle w:val="Heading2"/>
        <w:keepNext/>
      </w:pPr>
      <w:r>
        <w:t>创新性与已有工作的关系</w:t>
      </w:r>
    </w:p>
    <w:p>
      <w:r>
        <w:t>本审计中的若干组成并非全新。随机签名研究已说明生物学上无关的基因集也可能显著 [19]，边缘选择会受到共表达影响 [6]，batch 和潜在变异会影响高通量数据 [15,16]，跨平台一致性高度依赖分析选择 [18]。STROBE 和 FAIR 等规范则处理相邻的透明性和复用问题 [20,21]。因此，本文的贡献不是新的统计量或算法，而是把基因级符号一致率、可操作声明阶梯，以及覆盖供者依赖性、探针选择、基因身份、尺度和 FDR 家族结构的敏感性分析整合为一个针对椎间盘的领域匹配审计。</w:t>
      </w:r>
    </w:p>
    <w:p>
      <w:pPr>
        <w:pStyle w:val="Heading2"/>
        <w:keepNext/>
      </w:pPr>
      <w:r>
        <w:t>主要发现</w:t>
      </w:r>
    </w:p>
    <w:p>
      <w:r>
        <w:t>模块层面一致不等于复制。在最清晰的匹配比较中，同一个 ECM 模块在 GSE23130 中显著且具有中等内部可靠性，但其基因级方向在 GSE70362 中没有得到支持。该结果在供者级重采样中持续存在，也不是由可靠性衰减造成的。替代探针折叠规则仍低于 50% 一致率，但说明低于随机的具体幅度并不稳健。全模块审计发现数百个单队列模块信号；没有任何模块通过严格的精确符号 FDR 门槛。这一模式与散发性克雅氏病的跨组学分析一致：该研究中通过 FDR 控制的基因集重叠为零，名义重叠只能作为探索性结果 [1]；也与胶质瘤审计一致：即使签名校准良好，其外部验证表现仍与随机签名和临床参考模型无法区分 [2]。随机签名研究进一步显示，与临床结局无关的基因集也可能表现为显著 [19]。</w:t>
      </w:r>
    </w:p>
    <w:p>
      <w:pPr>
        <w:pStyle w:val="Heading2"/>
        <w:keepNext/>
      </w:pPr>
      <w:r>
        <w:t>为什么重要</w:t>
      </w:r>
    </w:p>
    <w:p>
      <w:r>
        <w:t>公共椎间盘转录组具有强异质性。它们在组织部位、解剖或消化方式、平台、分级标准、样本量和临床背景上不同。模块评分把这些差异整合为一个方向，可能使两个队列看起来比其底层基因更相似。基因级一致率是对这种聚合的直接检查。方法学基准也显示，基因间依赖会使边缘选择产生偏倚，因此聚合结果必须被显式验证，而不能假定其保留了基因级信号 [6]。</w:t>
      </w:r>
    </w:p>
    <w:p>
      <w:r>
        <w:t>本审计也说明，仅做技术检查并不足够。主要队列通过全局漂移筛查，严格比较移除了已知的分级-处理混杂。失败发生在这些检查之后，即跨队列基因级层面。不过，该比较是 Class B 而不是 Class A：队列与平台仍然结构性混杂，因此即使得到阳性结果，也只能支持信号在观察到的两个队列之间统计迁移，不能支持与平台无关的生物学。</w:t>
      </w:r>
    </w:p>
    <w:p>
      <w:r>
        <w:t>这种情境依赖性并非椎间盘研究所独有。一个紧凑的脓毒症血液签名可以在某一临床对比中具有区分能力，但在感染来源和短期生存等其他 Day 1 情境中接近无效 [22]；另一项 ICU 脓毒症探索性转录组分析中，关联受到细胞组成校正方法影响，因此作者明确将其限定为观察性转录组状态，而不是靶点参与 [23]。这些例子支持将每一个可复现性声明限定在与其匹配的组织、终点、处理方式和临床情境中。</w:t>
      </w:r>
    </w:p>
    <w:p>
      <w:r>
        <w:t>近年的椎间盘单细胞和空间研究为纤维化髓核细胞状态以及基质-整合素程序提供了生物学背景，包括 WNT/FN1-CD44 和整合素/N-糖基化轴 [24,25]。这些发现支持生物学合理性，但不能说明本文研究的 bulk ECM 模块已在两个队列间复制；生物学相关性与可复现性是两个独立声明。</w:t>
      </w:r>
    </w:p>
    <w:p>
      <w:r>
        <w:rPr>
          <w:b/>
        </w:rPr>
        <w:t>框 1. 公共数据模块可复现性声明的分层。</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2412"/>
        <w:gridCol w:w="2412"/>
        <w:gridCol w:w="2412"/>
        <w:gridCol w:w="2412"/>
      </w:tblGrid>
      <w:tr>
        <w:trPr>
          <w:cantSplit/>
          <w:tblHeader w:val="true"/>
        </w:trPr>
        <w:tc>
          <w:tcPr>
            <w:tcW w:type="dxa" w:w="1002"/>
            <w:vAlign w:val="center"/>
            <w:shd w:fill="334E68"/>
          </w:tcPr>
          <w:p>
            <w:pPr>
              <w:jc w:val="left"/>
            </w:pPr>
            <w:r>
              <w:rPr>
                <w:b/>
                <w:color w:val="FFFFFF"/>
                <w:sz w:val="17"/>
              </w:rPr>
              <w:t>层级</w:t>
            </w:r>
          </w:p>
        </w:tc>
        <w:tc>
          <w:tcPr>
            <w:tcW w:type="dxa" w:w="1128"/>
            <w:vAlign w:val="center"/>
            <w:shd w:fill="334E68"/>
          </w:tcPr>
          <w:p>
            <w:pPr>
              <w:jc w:val="left"/>
            </w:pPr>
            <w:r>
              <w:rPr>
                <w:b/>
                <w:color w:val="FFFFFF"/>
                <w:sz w:val="17"/>
              </w:rPr>
              <w:t>声明</w:t>
            </w:r>
          </w:p>
        </w:tc>
        <w:tc>
          <w:tcPr>
            <w:tcW w:type="dxa" w:w="3759"/>
            <w:vAlign w:val="center"/>
            <w:shd w:fill="334E68"/>
          </w:tcPr>
          <w:p>
            <w:pPr>
              <w:jc w:val="left"/>
            </w:pPr>
            <w:r>
              <w:rPr>
                <w:b/>
                <w:color w:val="FFFFFF"/>
                <w:sz w:val="17"/>
              </w:rPr>
              <w:t>最低证据</w:t>
            </w:r>
          </w:p>
        </w:tc>
        <w:tc>
          <w:tcPr>
            <w:tcW w:type="dxa" w:w="3759"/>
            <w:vAlign w:val="center"/>
            <w:shd w:fill="334E68"/>
          </w:tcPr>
          <w:p>
            <w:pPr>
              <w:jc w:val="left"/>
            </w:pPr>
            <w:r>
              <w:rPr>
                <w:b/>
                <w:color w:val="FFFFFF"/>
                <w:sz w:val="17"/>
              </w:rPr>
              <w:t>可用措辞</w:t>
            </w:r>
          </w:p>
        </w:tc>
      </w:tr>
      <w:tr>
        <w:trPr>
          <w:cantSplit/>
        </w:trPr>
        <w:tc>
          <w:tcPr>
            <w:tcW w:type="dxa" w:w="1002"/>
            <w:vAlign w:val="center"/>
          </w:tcPr>
          <w:p>
            <w:pPr>
              <w:jc w:val="left"/>
            </w:pPr>
            <w:r>
              <w:rPr>
                <w:sz w:val="17"/>
              </w:rPr>
              <w:t>0</w:t>
            </w:r>
          </w:p>
        </w:tc>
        <w:tc>
          <w:tcPr>
            <w:tcW w:type="dxa" w:w="1128"/>
            <w:vAlign w:val="center"/>
          </w:tcPr>
          <w:p>
            <w:pPr>
              <w:jc w:val="left"/>
            </w:pPr>
            <w:r>
              <w:rPr>
                <w:sz w:val="17"/>
              </w:rPr>
              <w:t>探索性模块信号</w:t>
            </w:r>
          </w:p>
        </w:tc>
        <w:tc>
          <w:tcPr>
            <w:tcW w:type="dxa" w:w="3759"/>
            <w:vAlign w:val="center"/>
          </w:tcPr>
          <w:p>
            <w:pPr>
              <w:jc w:val="left"/>
            </w:pPr>
            <w:r>
              <w:rPr>
                <w:sz w:val="17"/>
              </w:rPr>
              <w:t>单队列中模块显著</w:t>
            </w:r>
          </w:p>
        </w:tc>
        <w:tc>
          <w:tcPr>
            <w:tcW w:type="dxa" w:w="3759"/>
            <w:vAlign w:val="center"/>
          </w:tcPr>
          <w:p>
            <w:pPr>
              <w:jc w:val="left"/>
            </w:pPr>
            <w:r>
              <w:rPr>
                <w:sz w:val="17"/>
              </w:rPr>
              <w:t>探索性、产生假设</w:t>
            </w:r>
          </w:p>
        </w:tc>
      </w:tr>
      <w:tr>
        <w:trPr>
          <w:cantSplit/>
        </w:trPr>
        <w:tc>
          <w:tcPr>
            <w:tcW w:type="dxa" w:w="1002"/>
            <w:vAlign w:val="center"/>
            <w:shd w:fill="F2F4F7"/>
          </w:tcPr>
          <w:p>
            <w:pPr>
              <w:jc w:val="left"/>
            </w:pPr>
            <w:r>
              <w:rPr>
                <w:sz w:val="17"/>
              </w:rPr>
              <w:t>1</w:t>
            </w:r>
          </w:p>
        </w:tc>
        <w:tc>
          <w:tcPr>
            <w:tcW w:type="dxa" w:w="1128"/>
            <w:vAlign w:val="center"/>
            <w:shd w:fill="F2F4F7"/>
          </w:tcPr>
          <w:p>
            <w:pPr>
              <w:jc w:val="left"/>
            </w:pPr>
            <w:r>
              <w:rPr>
                <w:sz w:val="17"/>
              </w:rPr>
              <w:t>内部可复现模块</w:t>
            </w:r>
          </w:p>
        </w:tc>
        <w:tc>
          <w:tcPr>
            <w:tcW w:type="dxa" w:w="3759"/>
            <w:vAlign w:val="center"/>
            <w:shd w:fill="F2F4F7"/>
          </w:tcPr>
          <w:p>
            <w:pPr>
              <w:jc w:val="left"/>
            </w:pPr>
            <w:r>
              <w:rPr>
                <w:sz w:val="17"/>
              </w:rPr>
              <w:t>重复 split-half 或置换检验支持队列内方向</w:t>
            </w:r>
          </w:p>
        </w:tc>
        <w:tc>
          <w:tcPr>
            <w:tcW w:type="dxa" w:w="3759"/>
            <w:vAlign w:val="center"/>
            <w:shd w:fill="F2F4F7"/>
          </w:tcPr>
          <w:p>
            <w:pPr>
              <w:jc w:val="left"/>
            </w:pPr>
            <w:r>
              <w:rPr>
                <w:sz w:val="17"/>
              </w:rPr>
              <w:t>队列内稳定，不等于独立复制</w:t>
            </w:r>
          </w:p>
        </w:tc>
      </w:tr>
      <w:tr>
        <w:trPr>
          <w:cantSplit/>
        </w:trPr>
        <w:tc>
          <w:tcPr>
            <w:tcW w:type="dxa" w:w="1002"/>
            <w:vAlign w:val="center"/>
          </w:tcPr>
          <w:p>
            <w:pPr>
              <w:jc w:val="left"/>
            </w:pPr>
            <w:r>
              <w:rPr>
                <w:sz w:val="17"/>
              </w:rPr>
              <w:t>2</w:t>
            </w:r>
          </w:p>
        </w:tc>
        <w:tc>
          <w:tcPr>
            <w:tcW w:type="dxa" w:w="1128"/>
            <w:vAlign w:val="center"/>
          </w:tcPr>
          <w:p>
            <w:pPr>
              <w:jc w:val="left"/>
            </w:pPr>
            <w:r>
              <w:rPr>
                <w:sz w:val="17"/>
              </w:rPr>
              <w:t>情境一致的模块</w:t>
            </w:r>
          </w:p>
        </w:tc>
        <w:tc>
          <w:tcPr>
            <w:tcW w:type="dxa" w:w="3759"/>
            <w:vAlign w:val="center"/>
          </w:tcPr>
          <w:p>
            <w:pPr>
              <w:jc w:val="left"/>
            </w:pPr>
            <w:r>
              <w:rPr>
                <w:sz w:val="17"/>
              </w:rPr>
              <w:t>匹配的独立队列中同一预设模块方向一致</w:t>
            </w:r>
          </w:p>
        </w:tc>
        <w:tc>
          <w:tcPr>
            <w:tcW w:type="dxa" w:w="3759"/>
            <w:vAlign w:val="center"/>
          </w:tcPr>
          <w:p>
            <w:pPr>
              <w:jc w:val="left"/>
            </w:pPr>
            <w:r>
              <w:rPr>
                <w:sz w:val="17"/>
              </w:rPr>
              <w:t>在该匹配情境中一致</w:t>
            </w:r>
          </w:p>
        </w:tc>
      </w:tr>
      <w:tr>
        <w:trPr>
          <w:cantSplit/>
        </w:trPr>
        <w:tc>
          <w:tcPr>
            <w:tcW w:type="dxa" w:w="1002"/>
            <w:vAlign w:val="center"/>
            <w:shd w:fill="F2F4F7"/>
          </w:tcPr>
          <w:p>
            <w:pPr>
              <w:jc w:val="left"/>
            </w:pPr>
            <w:r>
              <w:rPr>
                <w:sz w:val="17"/>
              </w:rPr>
              <w:t>3</w:t>
            </w:r>
          </w:p>
        </w:tc>
        <w:tc>
          <w:tcPr>
            <w:tcW w:type="dxa" w:w="1128"/>
            <w:vAlign w:val="center"/>
            <w:shd w:fill="F2F4F7"/>
          </w:tcPr>
          <w:p>
            <w:pPr>
              <w:jc w:val="left"/>
            </w:pPr>
            <w:r>
              <w:rPr>
                <w:sz w:val="17"/>
              </w:rPr>
              <w:t>候选基因级复制</w:t>
            </w:r>
          </w:p>
        </w:tc>
        <w:tc>
          <w:tcPr>
            <w:tcW w:type="dxa" w:w="3759"/>
            <w:vAlign w:val="center"/>
            <w:shd w:fill="F2F4F7"/>
          </w:tcPr>
          <w:p>
            <w:pPr>
              <w:jc w:val="left"/>
            </w:pPr>
            <w:r>
              <w:rPr>
                <w:sz w:val="17"/>
              </w:rPr>
              <w:t>两个队列均同向显著；共享基因符号一致率大于 50%；精确单侧检验与 size-matched 经验零模型单侧 p &lt; 0.05</w:t>
            </w:r>
          </w:p>
        </w:tc>
        <w:tc>
          <w:tcPr>
            <w:tcW w:type="dxa" w:w="3759"/>
            <w:vAlign w:val="center"/>
            <w:shd w:fill="F2F4F7"/>
          </w:tcPr>
          <w:p>
            <w:pPr>
              <w:jc w:val="left"/>
            </w:pPr>
            <w:r>
              <w:rPr>
                <w:sz w:val="17"/>
              </w:rPr>
              <w:t>候选复制，仍需确认</w:t>
            </w:r>
          </w:p>
        </w:tc>
      </w:tr>
      <w:tr>
        <w:trPr>
          <w:cantSplit/>
        </w:trPr>
        <w:tc>
          <w:tcPr>
            <w:tcW w:type="dxa" w:w="1002"/>
            <w:vAlign w:val="center"/>
          </w:tcPr>
          <w:p>
            <w:pPr>
              <w:jc w:val="left"/>
            </w:pPr>
            <w:r>
              <w:rPr>
                <w:sz w:val="17"/>
              </w:rPr>
              <w:t>4</w:t>
            </w:r>
          </w:p>
        </w:tc>
        <w:tc>
          <w:tcPr>
            <w:tcW w:type="dxa" w:w="1128"/>
            <w:vAlign w:val="center"/>
          </w:tcPr>
          <w:p>
            <w:pPr>
              <w:jc w:val="left"/>
            </w:pPr>
            <w:r>
              <w:rPr>
                <w:sz w:val="17"/>
              </w:rPr>
              <w:t>强跨队列复制</w:t>
            </w:r>
          </w:p>
        </w:tc>
        <w:tc>
          <w:tcPr>
            <w:tcW w:type="dxa" w:w="3759"/>
            <w:vAlign w:val="center"/>
          </w:tcPr>
          <w:p>
            <w:pPr>
              <w:jc w:val="left"/>
            </w:pPr>
            <w:r>
              <w:rPr>
                <w:sz w:val="17"/>
              </w:rPr>
              <w:t>基于双侧精确检验的模块方向与基因级一致率均通过预设家族的 FDR 控制</w:t>
            </w:r>
          </w:p>
        </w:tc>
        <w:tc>
          <w:tcPr>
            <w:tcW w:type="dxa" w:w="3759"/>
            <w:vAlign w:val="center"/>
          </w:tcPr>
          <w:p>
            <w:pPr>
              <w:jc w:val="left"/>
            </w:pPr>
            <w:r>
              <w:rPr>
                <w:sz w:val="17"/>
              </w:rPr>
              <w:t>在匹配的组织和终点情境中，于观察到的队列间实现统计复制，不代表与平台无关</w:t>
            </w:r>
          </w:p>
        </w:tc>
      </w:tr>
    </w:tbl>
    <w:p/>
    <w:p>
      <w:r>
        <w:t>声明层级不能覆盖队列对可比性的限制。Class B 对中的 Level 4 结果只支持信号在观察到的队列之间统计迁移；若要声明与平台无关的复制或机制复制，需要 Class A 数据、额外独立队列或实验验证。</w:t>
      </w:r>
    </w:p>
    <w:p>
      <w:pPr>
        <w:pStyle w:val="Heading2"/>
        <w:keepNext/>
      </w:pPr>
      <w:r>
        <w:t>报告建议</w:t>
      </w:r>
    </w:p>
    <w:p>
      <w:r>
        <w:t>以下建议遵循框 1 的声明阶梯。对于公共数据椎间盘研究，我们对每一个声称复制的模块建议四行式可复现性声明：</w:t>
      </w:r>
    </w:p>
    <w:p>
      <w:pPr>
        <w:spacing w:after="60"/>
        <w:ind w:left="490" w:hanging="490"/>
      </w:pPr>
      <w:r>
        <w:t>1. 报告每个队列中的模块方向和精确符号检验 p 值。</w:t>
      </w:r>
    </w:p>
    <w:p>
      <w:pPr>
        <w:spacing w:after="60"/>
        <w:ind w:left="490" w:hanging="490"/>
      </w:pPr>
      <w:r>
        <w:t>2. 报告共享基因同向变化的比例，以及精确和经验 p 值。</w:t>
      </w:r>
    </w:p>
    <w:p>
      <w:pPr>
        <w:spacing w:after="60"/>
        <w:ind w:left="490" w:hanging="490"/>
      </w:pPr>
      <w:r>
        <w:t>3. 报告内部可靠性估计，并说明比较是否在组织、终点和处理方式上匹配。</w:t>
      </w:r>
    </w:p>
    <w:p>
      <w:pPr>
        <w:spacing w:after="60"/>
        <w:ind w:left="490" w:hanging="490"/>
      </w:pPr>
      <w:r>
        <w:t>4. 对于多个模块，报告多重性控制，并说明结果是否通过 FDR。</w:t>
      </w:r>
    </w:p>
    <w:p>
      <w:r>
        <w:t>“replicated”或“consistent”等措辞应只用于通过这四层证据的发现。单队列模块即使 p 值很小，也只能写作探索性结果。</w:t>
      </w:r>
    </w:p>
    <w:p>
      <w:r>
        <w:t>当存在细胞分辨率数据时，同一套报告逻辑应落实到供者和细胞状态层面。细胞注释应经过独立验证或共识整合 [26]，跨队列分类应在留出供者上使用 pseudobulk 或类似聚合方式评估，而不能把单个细胞当作独立样本 [27]。同时应提供机器可读的元数据和可执行工作流描述，使来源和参数选择可追踪 [28]。当细胞分辨率设计采用 hashtag 辅助混样时，应明确报告批次效应控制与 demultiplexing 细胞丢失之间的权衡，因为混样设计可能移除下游 pseudobulk 比较所需的细胞 [29]。STROBE 等报告规范为透明报告观察性研究提供了更广泛的框架 [20]。</w:t>
      </w:r>
    </w:p>
    <w:p>
      <w:pPr>
        <w:pStyle w:val="Heading2"/>
        <w:keepNext/>
      </w:pPr>
      <w:r>
        <w:t>局限</w:t>
      </w:r>
    </w:p>
    <w:p>
      <w:r>
        <w:t>本审计是回顾性的，使用的公共队列在平台和处理方式上不同。严格比较只有 20 和 15 个样本，对小基因集的 power 有限，也无法消除所有平台特异效应。这一限制定义了本文的结论：观察数据不能建立跨队列基因级复制，不能证明潜在生物学不存在或方向相反。</w:t>
      </w:r>
    </w:p>
    <w:p>
      <w:r>
        <w:t>没有发现 Tier A 的第三纤维环严重度队列，因此最强的领域级表述只能是：当前公共数据尚未提供进行这一声称所需的独立证据。文献部分为 scoping 语言审计，不是系统综述。因此，结果识别的是报告和数据缺口，而不是所有椎间盘研究中的复制比例。</w:t>
      </w:r>
    </w:p>
    <w:p>
      <w:r>
        <w:t>由于主要队列的平台和处理方法不同，队列效应与平台效应无法分别识别。因此，主要阴性结果是未能建立跨队列基因级迁移性，而不是证明共享生物学程序不存在。未来即使得到阳性结果，也必须保留同样的限定。</w:t>
      </w:r>
    </w:p>
    <w:p>
      <w:r>
        <w:t>本研究没有进行公开预注册。内部冻结能够限制，但不能完全排除主要比较或敏感性分析受到探索性结果影响的可能。</w:t>
      </w:r>
    </w:p>
    <w:p>
      <w:r>
        <w:t>只有 GSE70362 提供供者 ID。GSE23130 因 GEO metadata 未标识供者而只能按样本级分析，因此该队列中残余的供者内非独立性仍未解决。</w:t>
      </w:r>
    </w:p>
    <w:p>
      <w:r>
        <w:t>分级、batch、source 和处理方法并非完全交叉。某些分级只出现在单一混杂层中，因此调整后的分级系数不是完全识别的因果效应。仅分级敏感性分析复现了主要 ECM 一致率，但残余混杂仍然是限制。</w:t>
      </w:r>
    </w:p>
    <w:p>
      <w:r>
        <w:t>分级按照 ordinal trend 建模，而不是作为 categorical exposure。该选择在任意严格递增编码下都能保留基因级单调关联的正负号，但不能捕捉 grade 之间的非单调差异，也不能把系数大小解释为线性剂量效应。</w:t>
      </w:r>
    </w:p>
    <w:p>
      <w:r>
        <w:t>主分析对每个基因保留最高均值探针。首个探针、探针中位数和随机探针规则仍保持 ECM 一致率低于 50%，但低于随机的具体幅度依赖探针选择。因此本研究不主张存在统计显著的负一致。</w:t>
      </w:r>
    </w:p>
    <w:p>
      <w:r>
        <w:t>基因身份映射也不完美。22,107 个平台 symbol 中，1,098 个只能通过历史别名映射，3,305 个仍未解析，另有 4,434 个有冲突的别名键被移除。别名感知敏感性未改变 ECM 主比较或 FDR 结论，但全模块数量对映射规则敏感。</w:t>
      </w:r>
    </w:p>
    <w:p>
      <w:r>
        <w:t>尺度不变的 rank-trend 分析在 GSE23130 中保留了方向，但跨队列 ECM 一致率只有 33.3–36.7%，双侧 p 为 0.0987–0.2005。因此，主分析的 below-chance p 值不能作为稳健的负一致证据。</w:t>
      </w:r>
    </w:p>
    <w:p>
      <w:r>
        <w:t>模块家族被操作性地定义为一个全局 Hallmark/KEGG/Reactome 家族。集合内 FDR 同样没有严格通过模块，但模块重叠明显：1,636 对超过 Jaccard 0.5，94 对超过 0.8。因此 FDR 不能解释为来自数千个独立假设的证据。</w:t>
      </w:r>
    </w:p>
    <w:p>
      <w:r>
        <w:t>名义复制的模块仍需要独立队列验证，并在可能时进行实验验证。近年针对纤维化髓核状态和基质-整合素程序的单细胞证据 [24,25]，不能替代独立的 bulk 严重度队列或实验验证，也不能为本文的模块结果建立因果关系。本研究没有任何结果建立因果机制。</w:t>
      </w:r>
    </w:p>
    <w:p>
      <w:pPr>
        <w:pStyle w:val="Heading1"/>
        <w:keepNext/>
      </w:pPr>
      <w:r>
        <w:t>数据可用性</w:t>
      </w:r>
    </w:p>
    <w:p>
      <w:r>
        <w:t>所有原始队列均为公开 GEO 系列：GSE70362、GSE23130、GSE186542、GSE167199、GSE146904 和 GSE207176。模块审计使用 MSigDB 2024.1 文件。派生效应表、审计结果、图形和正文均由本项目的代码生成；代码与派生结果表托管于 https://github.com/wdsve/ivd-repro-audit ，并在 https://doi.org/10.5281/zenodo.23133983 永久存档。机器可读元数据和可执行工作流描述将进一步提高该审计的复用性与可追踪性 [28]。FAIR 原则为可发现、可访问、可互操作和可复用的数据与 metadata 提供了基础标准 [21]。</w:t>
      </w:r>
    </w:p>
    <w:p>
      <w:pPr>
        <w:pStyle w:val="Heading1"/>
        <w:keepNext/>
      </w:pPr>
      <w:r>
        <w:t>图注</w:t>
      </w:r>
    </w:p>
    <w:p>
      <w:r>
        <w:rPr>
          <w:b/>
        </w:rPr>
        <w:t>图 1. 跨队列组学声明的可复现性门槛。</w:t>
      </w:r>
      <w:r>
        <w:t xml:space="preserve"> 流程从队列清单开始，依次经过数据协调、技术诊断、独立单位重新估计、模块和基因级检验及报告。每一道门槛都可以在结果被写成 replication 前阻止该声明。</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760720" cy="3840480"/>
                    </a:xfrm>
                    <a:prstGeom prst="rect"/>
                  </pic:spPr>
                </pic:pic>
              </a:graphicData>
            </a:graphic>
          </wp:inline>
        </w:drawing>
      </w:r>
    </w:p>
    <w:p>
      <w:r>
        <w:rPr>
          <w:b/>
        </w:rPr>
        <w:t>图 2. ECM 模块显著并不意味着基因级复制。</w:t>
      </w:r>
      <w:r>
        <w:t>（A）在全样本和严格 I–IV 级分析中，GSE23130 与 GSE70362 随退变上调的 ECM 基因比例。（B）两队列的基因级符号一致率。虚线参考为 50%。严格比较低于 50%，但低于随机的精确幅度依赖探针折叠规则。内部 split-half 相关显示两个队列均具有中等 ECM 可靠性，因此失败不能用队列内部信号缺失解释。</w:t>
      </w: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fig2_ecm_paradox.png"/>
                    <pic:cNvPicPr/>
                  </pic:nvPicPr>
                  <pic:blipFill>
                    <a:blip r:embed="rId10"/>
                    <a:stretch>
                      <a:fillRect/>
                    </a:stretch>
                  </pic:blipFill>
                  <pic:spPr>
                    <a:xfrm>
                      <a:off x="0" y="0"/>
                      <a:ext cx="5760720" cy="3840480"/>
                    </a:xfrm>
                    <a:prstGeom prst="rect"/>
                  </pic:spPr>
                </pic:pic>
              </a:graphicData>
            </a:graphic>
          </wp:inline>
        </w:drawing>
      </w:r>
    </w:p>
    <w:p>
      <w:r>
        <w:rPr>
          <w:b/>
        </w:rPr>
        <w:t>图 3. 全 MSigDB 模块审计。</w:t>
      </w:r>
      <w:r>
        <w:t xml:space="preserve"> 每个点代表一个至少包含 10 个可测基因的 Hallmark、KEGG 或 Reactome 模块。横轴为两个队列中偏离 50% 方向平衡的最大绝对值；纵轴为基因级符号一致率。柱状图总结审计漏斗。</w:t>
      </w:r>
    </w:p>
    <w:p>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fig3_msigdb_audit.png"/>
                    <pic:cNvPicPr/>
                  </pic:nvPicPr>
                  <pic:blipFill>
                    <a:blip r:embed="rId11"/>
                    <a:stretch>
                      <a:fillRect/>
                    </a:stretch>
                  </pic:blipFill>
                  <pic:spPr>
                    <a:xfrm>
                      <a:off x="0" y="0"/>
                      <a:ext cx="5760720" cy="3840480"/>
                    </a:xfrm>
                    <a:prstGeom prst="rect"/>
                  </pic:spPr>
                </pic:pic>
              </a:graphicData>
            </a:graphic>
          </wp:inline>
        </w:drawing>
      </w:r>
    </w:p>
    <w:p>
      <w:r>
        <w:rPr>
          <w:b/>
        </w:rPr>
        <w:t>图 4. 组织队列两两一致率。</w:t>
      </w:r>
      <w:r>
        <w:t xml:space="preserve"> 15 对公共人椎间盘组织队列的基因级符号一致率。50% 处的竖线表示随机水平。多数配对接近随机，最高配对仍低于 60%。</w:t>
      </w:r>
    </w:p>
    <w:p>
      <w:r>
        <w:drawing>
          <wp:inline xmlns:a="http://schemas.openxmlformats.org/drawingml/2006/main" xmlns:pic="http://schemas.openxmlformats.org/drawingml/2006/picture">
            <wp:extent cx="5760720" cy="3584448"/>
            <wp:docPr id="4" name="Picture 4"/>
            <wp:cNvGraphicFramePr>
              <a:graphicFrameLocks noChangeAspect="1"/>
            </wp:cNvGraphicFramePr>
            <a:graphic>
              <a:graphicData uri="http://schemas.openxmlformats.org/drawingml/2006/picture">
                <pic:pic>
                  <pic:nvPicPr>
                    <pic:cNvPr id="0" name="fig4_pairwise_concordance.png"/>
                    <pic:cNvPicPr/>
                  </pic:nvPicPr>
                  <pic:blipFill>
                    <a:blip r:embed="rId12"/>
                    <a:stretch>
                      <a:fillRect/>
                    </a:stretch>
                  </pic:blipFill>
                  <pic:spPr>
                    <a:xfrm>
                      <a:off x="0" y="0"/>
                      <a:ext cx="5760720" cy="3584448"/>
                    </a:xfrm>
                    <a:prstGeom prst="rect"/>
                  </pic:spPr>
                </pic:pic>
              </a:graphicData>
            </a:graphic>
          </wp:inline>
        </w:drawing>
      </w:r>
    </w:p>
    <w:p>
      <w:r>
        <w:rPr>
          <w:b/>
        </w:rPr>
        <w:t>图 5. 供者级敏感性与可靠性衰减。</w:t>
      </w:r>
      <w:r>
        <w:t>（A）GSE70362 ECM 方向比例的每供者单样本和供者 cluster bootstrap 分布。（B）对应的跨队列基因级一致率。（C）使用观察到的 split-half 可靠性，在潜在相关 0 到 0.8 下模拟的符号一致率。红线为观察到的 ECM 一致率。</w:t>
      </w:r>
    </w:p>
    <w:p>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760720" cy="3840480"/>
                    </a:xfrm>
                    <a:prstGeom prst="rect"/>
                  </pic:spPr>
                </pic:pic>
              </a:graphicData>
            </a:graphic>
          </wp:inline>
        </w:drawing>
      </w:r>
    </w:p>
    <w:p>
      <w:r>
        <w:t>（原图 6“阳性对照与 power 校准”已移至补充材料，编号为图 S1。）</w:t>
      </w:r>
    </w:p>
    <w:p>
      <w:pPr>
        <w:pStyle w:val="Heading1"/>
        <w:keepNext/>
      </w:pPr>
      <w:r>
        <w:t>参考文献</w:t>
      </w:r>
    </w:p>
    <w:p>
      <w:pPr>
        <w:spacing w:after="60"/>
        <w:ind w:left="490" w:hanging="490"/>
      </w:pPr>
      <w:r>
        <w:t xml:space="preserve">1. Oberoi RK, Gurung D, Harris LK. Cross-Omic Comparative Analysis Identifies Transcriptomic Signatures and Exploratory Gene Set-Level Signals in Sporadic Creutzfeldt-Jakob Disease. </w:t>
      </w:r>
      <w:r>
        <w:rPr>
          <w:i/>
        </w:rPr>
        <w:t>International Journal of Molecular Sciences</w:t>
      </w:r>
      <w:r>
        <w:t>. 2026;27:6560. doi:10.3390/ijms27156560</w:t>
      </w:r>
    </w:p>
    <w:p>
      <w:pPr>
        <w:spacing w:after="60"/>
        <w:ind w:left="490" w:hanging="490"/>
      </w:pPr>
      <w:r>
        <w:t xml:space="preserve">2. Yasar S, Yagin B, Alzakari SA, et al. Evaluating a Glioma Transcriptomic Signature Against a Clinical Reference Model and a Random-Signature Null Distribution: A Leakage-Controlled Internal Audit and a Survey of the Field. </w:t>
      </w:r>
      <w:r>
        <w:rPr>
          <w:i/>
        </w:rPr>
        <w:t>Diagnostics</w:t>
      </w:r>
      <w:r>
        <w:t>. 2026;16:2803. doi:10.3390/diagnostics16172803</w:t>
      </w:r>
    </w:p>
    <w:p>
      <w:pPr>
        <w:spacing w:after="60"/>
        <w:ind w:left="490" w:hanging="490"/>
      </w:pPr>
      <w:r>
        <w:t xml:space="preserve">3. Ioannidis JPA. Why most published research findings are false. </w:t>
      </w:r>
      <w:r>
        <w:rPr>
          <w:i/>
        </w:rPr>
        <w:t>PLoS Medicine</w:t>
      </w:r>
      <w:r>
        <w:t>. 2005;2:e124. doi:10.1371/journal.pmed.0020124</w:t>
      </w:r>
    </w:p>
    <w:p>
      <w:pPr>
        <w:spacing w:after="60"/>
        <w:ind w:left="490" w:hanging="490"/>
      </w:pPr>
      <w:r>
        <w:t xml:space="preserve">4. Errington TM, et al. Investigating the replicability of preclinical cancer biology. </w:t>
      </w:r>
      <w:r>
        <w:rPr>
          <w:i/>
        </w:rPr>
        <w:t>eLife</w:t>
      </w:r>
      <w:r>
        <w:t>. 2021;10:e71601. doi:10.7554/eLife.71601</w:t>
      </w:r>
    </w:p>
    <w:p>
      <w:pPr>
        <w:spacing w:after="60"/>
        <w:ind w:left="490" w:hanging="490"/>
      </w:pPr>
      <w:r>
        <w:t xml:space="preserve">5. Open Science Collaboration. Estimating the reproducibility of psychological science. </w:t>
      </w:r>
      <w:r>
        <w:rPr>
          <w:i/>
        </w:rPr>
        <w:t>Science</w:t>
      </w:r>
      <w:r>
        <w:t>. 2015;349:aac4716. doi:10.1126/science.aac4716</w:t>
      </w:r>
    </w:p>
    <w:p>
      <w:pPr>
        <w:spacing w:after="60"/>
        <w:ind w:left="490" w:hanging="490"/>
      </w:pPr>
      <w:r>
        <w:t xml:space="preserve">6. Yu D, Li C, Yan S, et al. Comparative evaluation of gene selection approaches in transcriptomics: bias correction and visualization with TransPro. </w:t>
      </w:r>
      <w:r>
        <w:rPr>
          <w:i/>
        </w:rPr>
        <w:t>GigaScience</w:t>
      </w:r>
      <w:r>
        <w:t>. 2026;15:giag057. doi:10.1093/gigascience/giag057</w:t>
      </w:r>
    </w:p>
    <w:p>
      <w:pPr>
        <w:spacing w:after="60"/>
        <w:ind w:left="490" w:hanging="490"/>
      </w:pPr>
      <w:r>
        <w:t xml:space="preserve">7. Barrett T, et al. NCBI GEO: archive for functional genomics data sets: update. </w:t>
      </w:r>
      <w:r>
        <w:rPr>
          <w:i/>
        </w:rPr>
        <w:t>Nucleic Acids Research</w:t>
      </w:r>
      <w:r>
        <w:t>. 2013;41:D991-D995. doi:10.1093/nar/gks1193</w:t>
      </w:r>
    </w:p>
    <w:p>
      <w:pPr>
        <w:spacing w:after="60"/>
        <w:ind w:left="490" w:hanging="490"/>
      </w:pPr>
      <w:r>
        <w:t xml:space="preserve">8. Kazezian Z, Gawri R, Haglund L, et al. Gene Expression Profiling Identifies Interferon Signalling Molecules and IGFBP3 in Human Degenerative Annulus Fibrosus. </w:t>
      </w:r>
      <w:r>
        <w:rPr>
          <w:i/>
        </w:rPr>
        <w:t>Scientific Reports</w:t>
      </w:r>
      <w:r>
        <w:t>. 2015;5:15662. doi:10.1038/srep15662</w:t>
      </w:r>
    </w:p>
    <w:p>
      <w:pPr>
        <w:spacing w:after="60"/>
        <w:ind w:left="490" w:hanging="490"/>
      </w:pPr>
      <w:r>
        <w:t xml:space="preserve">9. Gruber HE, Hoelscher GL, Ingram JA, Hanley EN. Genome-wide analysis of pain-, nerve- and neurotrophin-related gene expression in the degenerating human annulus. </w:t>
      </w:r>
      <w:r>
        <w:rPr>
          <w:i/>
        </w:rPr>
        <w:t>Molecular Pain</w:t>
      </w:r>
      <w:r>
        <w:t>. 2012;8:63. doi:10.1186/1744-8069-8-63</w:t>
      </w:r>
    </w:p>
    <w:p>
      <w:pPr>
        <w:spacing w:after="60"/>
        <w:ind w:left="490" w:hanging="490"/>
      </w:pPr>
      <w:r>
        <w:t xml:space="preserve">10. Li Z, Sun Y, He M, Liu J. Differentially-expressed mRNAs, microRNAs and long noncoding RNAs in intervertebral disc degeneration identified by RNA-sequencing. </w:t>
      </w:r>
      <w:r>
        <w:rPr>
          <w:i/>
        </w:rPr>
        <w:t>Bioengineered</w:t>
      </w:r>
      <w:r>
        <w:t>. 2021;12:1026-1039. doi:10.1080/21655979.2021.1899533</w:t>
      </w:r>
    </w:p>
    <w:p>
      <w:pPr>
        <w:spacing w:after="60"/>
        <w:ind w:left="490" w:hanging="490"/>
      </w:pPr>
      <w:r>
        <w:t xml:space="preserve">11. Ritchie ME, et al. limma powers differential expression analyses for RNA-sequencing and microarray studies. </w:t>
      </w:r>
      <w:r>
        <w:rPr>
          <w:i/>
        </w:rPr>
        <w:t>Nucleic Acids Research</w:t>
      </w:r>
      <w:r>
        <w:t>. 2015;43:e47. doi:10.1093/nar/gkv007</w:t>
      </w:r>
    </w:p>
    <w:p>
      <w:pPr>
        <w:spacing w:after="60"/>
        <w:ind w:left="490" w:hanging="490"/>
      </w:pPr>
      <w:r>
        <w:t xml:space="preserve">12. Subramanian A, et al. Gene set enrichment analysis: a knowledge-based approach for interpreting genome-wide expression profiles. </w:t>
      </w:r>
      <w:r>
        <w:rPr>
          <w:i/>
        </w:rPr>
        <w:t>PNAS</w:t>
      </w:r>
      <w:r>
        <w:t>. 2005;102:15545-15550. doi:10.1073/pnas.0506580102</w:t>
      </w:r>
    </w:p>
    <w:p>
      <w:pPr>
        <w:spacing w:after="60"/>
        <w:ind w:left="490" w:hanging="490"/>
      </w:pPr>
      <w:r>
        <w:t xml:space="preserve">13. Benjamini Y, Hochberg Y. Controlling the false discovery rate: a practical and powerful approach to multiple testing. </w:t>
      </w:r>
      <w:r>
        <w:rPr>
          <w:i/>
        </w:rPr>
        <w:t>Journal of the Royal Statistical Society Series B</w:t>
      </w:r>
      <w:r>
        <w:t>. 1995;57:289-300. doi:10.1111/j.2517-6161.1995.tb02031.x</w:t>
      </w:r>
    </w:p>
    <w:p>
      <w:pPr>
        <w:spacing w:after="60"/>
        <w:ind w:left="490" w:hanging="490"/>
      </w:pPr>
      <w:r>
        <w:t xml:space="preserve">14. Freedman D, Lane D. A nonstochastic interpretation of reported significance levels. </w:t>
      </w:r>
      <w:r>
        <w:rPr>
          <w:i/>
        </w:rPr>
        <w:t>Journal of Business &amp; Economic Statistics</w:t>
      </w:r>
      <w:r>
        <w:t>. 1983;1:292-298. doi:10.1080/07350015.1983.10509354</w:t>
      </w:r>
    </w:p>
    <w:p>
      <w:pPr>
        <w:spacing w:after="60"/>
        <w:ind w:left="490" w:hanging="490"/>
      </w:pPr>
      <w:r>
        <w:t xml:space="preserve">15. Leek JT, et al. The sva package for removing batch effects and other unwanted variation in high-throughput experiments. </w:t>
      </w:r>
      <w:r>
        <w:rPr>
          <w:i/>
        </w:rPr>
        <w:t>Bioinformatics</w:t>
      </w:r>
      <w:r>
        <w:t>. 2012;28:882-883. doi:10.1093/bioinformatics/bts034</w:t>
      </w:r>
    </w:p>
    <w:p>
      <w:pPr>
        <w:spacing w:after="60"/>
        <w:ind w:left="490" w:hanging="490"/>
      </w:pPr>
      <w:r>
        <w:t xml:space="preserve">16. Johnson WE, Li C, Rabinovic A. Adjusting batch effects in microarray expression data using empirical Bayes methods. </w:t>
      </w:r>
      <w:r>
        <w:rPr>
          <w:i/>
        </w:rPr>
        <w:t>Biostatistics</w:t>
      </w:r>
      <w:r>
        <w:t>. 2007;8:118-127. doi:10.1093/biostatistics/kxj037</w:t>
      </w:r>
    </w:p>
    <w:p>
      <w:pPr>
        <w:spacing w:after="60"/>
        <w:ind w:left="490" w:hanging="490"/>
      </w:pPr>
      <w:r>
        <w:t xml:space="preserve">17. Li J, Ji L. Adjusting multiple testing in multilocus analyses using the eigenvalues of a correlation matrix. </w:t>
      </w:r>
      <w:r>
        <w:rPr>
          <w:i/>
        </w:rPr>
        <w:t>Heredity</w:t>
      </w:r>
      <w:r>
        <w:t>. 2005;95:221-227. doi:10.1038/sj.hdy.6800717</w:t>
      </w:r>
    </w:p>
    <w:p>
      <w:pPr>
        <w:spacing w:after="60"/>
        <w:ind w:left="490" w:hanging="490"/>
      </w:pPr>
      <w:r>
        <w:t xml:space="preserve">18. MAQC Consortium. The MicroArray Quality Control (MAQC) project shows inter- and intraplatform reproducibility of gene expression measurements. </w:t>
      </w:r>
      <w:r>
        <w:rPr>
          <w:i/>
        </w:rPr>
        <w:t>Nature Biotechnology</w:t>
      </w:r>
      <w:r>
        <w:t>. 2006;24:1151-1161. doi:10.1038/nbt1239</w:t>
      </w:r>
    </w:p>
    <w:p>
      <w:pPr>
        <w:spacing w:after="60"/>
        <w:ind w:left="490" w:hanging="490"/>
      </w:pPr>
      <w:r>
        <w:t xml:space="preserve">19. Venet D, Dumont JE, Detours V. Most random gene expression signatures are significantly associated with breast cancer outcome. </w:t>
      </w:r>
      <w:r>
        <w:rPr>
          <w:i/>
        </w:rPr>
        <w:t>PLoS Computational Biology</w:t>
      </w:r>
      <w:r>
        <w:t>. 2011;7:e1002240. doi:10.1371/journal.pcbi.1002240</w:t>
      </w:r>
    </w:p>
    <w:p>
      <w:pPr>
        <w:spacing w:after="60"/>
        <w:ind w:left="490" w:hanging="490"/>
      </w:pPr>
      <w:r>
        <w:t xml:space="preserve">20. von Elm E, Altman DG, Egger M, et al. The Strengthening the Reporting of Observational Studies in Epidemiology (STROBE) statement: guidelines for reporting observational studies. </w:t>
      </w:r>
      <w:r>
        <w:rPr>
          <w:i/>
        </w:rPr>
        <w:t>Lancet</w:t>
      </w:r>
      <w:r>
        <w:t>. 2007;370:1453-1457. doi:10.1016/S0140-6736(07)61602-X</w:t>
      </w:r>
    </w:p>
    <w:p>
      <w:pPr>
        <w:spacing w:after="60"/>
        <w:ind w:left="490" w:hanging="490"/>
      </w:pPr>
      <w:r>
        <w:t xml:space="preserve">21. Wilkinson MD, Dumontier M, Aalbersberg IJ, et al. The FAIR Guiding Principles for scientific data management and stewardship. </w:t>
      </w:r>
      <w:r>
        <w:rPr>
          <w:i/>
        </w:rPr>
        <w:t>Scientific Data</w:t>
      </w:r>
      <w:r>
        <w:t>. 2016;3:160018. doi:10.1038/sdata.2016.18</w:t>
      </w:r>
    </w:p>
    <w:p>
      <w:pPr>
        <w:spacing w:after="60"/>
        <w:ind w:left="490" w:hanging="490"/>
      </w:pPr>
      <w:r>
        <w:t xml:space="preserve">22. Qin C, Wang W, Du Q, et al. An 11-gene blood transcriptomic signature reflects a sepsis-associated host-response pattern across public cohorts. </w:t>
      </w:r>
      <w:r>
        <w:rPr>
          <w:i/>
        </w:rPr>
        <w:t>Frontiers in Medicine</w:t>
      </w:r>
      <w:r>
        <w:t>. 2026;13:1844619. doi:10.3389/fmed.2026.1844619</w:t>
      </w:r>
    </w:p>
    <w:p>
      <w:pPr>
        <w:spacing w:after="60"/>
        <w:ind w:left="490" w:hanging="490"/>
      </w:pPr>
      <w:r>
        <w:t xml:space="preserve">23. Yang X, Hu T, Wang J, et al. An NLRP3 inflammasome-anchored Astragalus mechanistic prior yields a mortality-associated transcriptomic signal in ICU sepsis: a secondary analysis with exploratory cross-cohort assessment. </w:t>
      </w:r>
      <w:r>
        <w:rPr>
          <w:i/>
        </w:rPr>
        <w:t>Inflammation Research</w:t>
      </w:r>
      <w:r>
        <w:t>. 2026;75:201. doi:10.1007/s00011-026-02352-0</w:t>
      </w:r>
    </w:p>
    <w:p>
      <w:pPr>
        <w:spacing w:after="60"/>
        <w:ind w:left="490" w:hanging="490"/>
      </w:pPr>
      <w:r>
        <w:t xml:space="preserve">24. Li Q, Liang G, Bo K, et al. Single-cell and spatial transcriptomics characterisation of RSPO2+ nucleus pulposus cells reveals a WNT/FN1-CD44 degenerative axis and therapeutic targets in IVDD. </w:t>
      </w:r>
      <w:r>
        <w:rPr>
          <w:i/>
        </w:rPr>
        <w:t>Journal of Orthopaedic Translation</w:t>
      </w:r>
      <w:r>
        <w:t>. 2026;60:101203. doi:10.1016/j.jot.2026.101203</w:t>
      </w:r>
    </w:p>
    <w:p>
      <w:pPr>
        <w:spacing w:after="60"/>
        <w:ind w:left="490" w:hanging="490"/>
      </w:pPr>
      <w:r>
        <w:t xml:space="preserve">25. Qiang S, Liu Y, Dong Y, et al. ITGBL1 and RPN1 Mark a Fibrotic NP Subpopulation with Coupled Integrin Signaling and N-Glycosylation Programs in IVDD. </w:t>
      </w:r>
      <w:r>
        <w:rPr>
          <w:i/>
        </w:rPr>
        <w:t>Journal of Inflammation Research</w:t>
      </w:r>
      <w:r>
        <w:t>. 2026;19. doi:10.2147/JIR.S629922</w:t>
      </w:r>
    </w:p>
    <w:p>
      <w:pPr>
        <w:spacing w:after="60"/>
        <w:ind w:left="490" w:hanging="490"/>
      </w:pPr>
      <w:r>
        <w:t xml:space="preserve">26. Sun L, Ma L, Chen L, et al. Annotation of cell types in single-cell sequencing for cardiovascular disease: concepts, workflows, challenges, and best practices. </w:t>
      </w:r>
      <w:r>
        <w:rPr>
          <w:i/>
        </w:rPr>
        <w:t>International Journal of Biochemistry and Cell Biology</w:t>
      </w:r>
      <w:r>
        <w:t>. 2026;201:107027. doi:10.1016/j.biocel.2026.107027</w:t>
      </w:r>
    </w:p>
    <w:p>
      <w:pPr>
        <w:spacing w:after="60"/>
        <w:ind w:left="490" w:hanging="490"/>
      </w:pPr>
      <w:r>
        <w:t xml:space="preserve">27. Marchi A, Anwer D, Kerkhoven E, et al. Cell-Type-Resolved Pseudobulk Classification Across Independent Cohorts Identifies Microglial PTPRG as a Transcriptional Hub in Alzheimer's Disease. </w:t>
      </w:r>
      <w:r>
        <w:rPr>
          <w:i/>
        </w:rPr>
        <w:t>bioRxiv</w:t>
      </w:r>
      <w:r>
        <w:t>. 2026. Preprint. doi:10.64898/2026.04.07.717029</w:t>
      </w:r>
    </w:p>
    <w:p>
      <w:pPr>
        <w:spacing w:after="60"/>
        <w:ind w:left="490" w:hanging="490"/>
      </w:pPr>
      <w:r>
        <w:t xml:space="preserve">28. Dörpholz H, Simon R, Usadel B, Kranz A. Integrating cross-omics research through FAIR Digital Objects with DataPLANT. </w:t>
      </w:r>
      <w:r>
        <w:rPr>
          <w:i/>
        </w:rPr>
        <w:t>Journal of Integrative Bioinformatics</w:t>
      </w:r>
      <w:r>
        <w:t>. 2025;22(4):20250056. doi:10.1515/jib-2025-0056</w:t>
      </w:r>
    </w:p>
    <w:p>
      <w:pPr>
        <w:spacing w:after="60"/>
        <w:ind w:left="490" w:hanging="490"/>
      </w:pPr>
      <w:r>
        <w:t xml:space="preserve">29. Chatterjee B, Gorga K, Blair C, et al. Moderated designs can balance between batch-effect mitigation and cell loss due to hashtag-assisted pooling in single-cell experiments. </w:t>
      </w:r>
      <w:r>
        <w:rPr>
          <w:i/>
        </w:rPr>
        <w:t>Genome Research</w:t>
      </w:r>
      <w:r>
        <w:t>. 2026;36:2027-2036. doi:10.1101/gr.281624.125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pBdr>
    </w:pPr>
    <w:rPr>
      <w:rFonts w:asciiTheme="majorHAnsi" w:eastAsiaTheme="majorEastAsia" w:hAnsiTheme="majorHAnsi" w:cstheme="majorBidi" w:ascii="Calibri" w:hAnsi="Calibri"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