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pPr>
        <w:pStyle w:val="Heading1"/>
        <w:keepNext/>
      </w:pPr>
      <w:r>
        <w:t>Table S1. Primary comparison</w:t>
      </w:r>
    </w:p>
    <w:p>
      <w:r>
        <w:t>These three rows are consolidated into main-text Table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2067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Comparison</w:t>
            </w:r>
          </w:p>
        </w:tc>
        <w:tc>
          <w:tcPr>
            <w:tcW w:type="dxa" w:w="172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GSE70362 ECM up</w:t>
            </w:r>
          </w:p>
        </w:tc>
        <w:tc>
          <w:tcPr>
            <w:tcW w:type="dxa" w:w="172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GSE23130 ECM up</w:t>
            </w:r>
          </w:p>
        </w:tc>
        <w:tc>
          <w:tcPr>
            <w:tcW w:type="dxa" w:w="2240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ECM gene concordance</w:t>
            </w:r>
          </w:p>
        </w:tc>
        <w:tc>
          <w:tcPr>
            <w:tcW w:type="dxa" w:w="189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Two-sided sign p</w:t>
            </w:r>
          </w:p>
        </w:tc>
      </w:tr>
      <w:tr>
        <w:trPr>
          <w:cantSplit/>
        </w:trPr>
        <w:tc>
          <w:tcPr>
            <w:tcW w:type="dxa" w:w="2067"/>
            <w:vAlign w:val="center"/>
          </w:tcPr>
          <w:p>
            <w:pPr>
              <w:jc w:val="left"/>
            </w:pPr>
            <w:r>
              <w:rPr>
                <w:sz w:val="18"/>
              </w:rPr>
              <w:t>All available AF/LCM samples</w:t>
            </w:r>
          </w:p>
        </w:tc>
        <w:tc>
          <w:tcPr>
            <w:tcW w:type="dxa" w:w="1723"/>
            <w:vAlign w:val="center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1723"/>
            <w:vAlign w:val="center"/>
          </w:tcPr>
          <w:p>
            <w:pPr>
              <w:jc w:val="center"/>
            </w:pPr>
            <w:r>
              <w:rPr>
                <w:sz w:val="18"/>
              </w:rPr>
              <w:t>87.1%</w:t>
            </w:r>
          </w:p>
        </w:tc>
        <w:tc>
          <w:tcPr>
            <w:tcW w:type="dxa" w:w="2240"/>
            <w:vAlign w:val="center"/>
          </w:tcPr>
          <w:p>
            <w:pPr>
              <w:jc w:val="center"/>
            </w:pPr>
            <w:r>
              <w:rPr>
                <w:sz w:val="18"/>
              </w:rPr>
              <w:t>40.0%</w:t>
            </w:r>
          </w:p>
        </w:tc>
        <w:tc>
          <w:tcPr>
            <w:tcW w:type="dxa" w:w="1895"/>
            <w:vAlign w:val="center"/>
          </w:tcPr>
          <w:p>
            <w:pPr>
              <w:jc w:val="center"/>
            </w:pPr>
            <w:r>
              <w:rPr>
                <w:sz w:val="18"/>
              </w:rPr>
              <w:t>0.3616</w:t>
            </w:r>
          </w:p>
        </w:tc>
      </w:tr>
      <w:tr>
        <w:trPr>
          <w:cantSplit/>
        </w:trPr>
        <w:tc>
          <w:tcPr>
            <w:tcW w:type="dxa" w:w="2067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Strict grade I-IV AF/LCM, adjusted</w:t>
            </w:r>
          </w:p>
        </w:tc>
        <w:tc>
          <w:tcPr>
            <w:tcW w:type="dxa" w:w="172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172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77.4%</w:t>
            </w:r>
          </w:p>
        </w:tc>
        <w:tc>
          <w:tcPr>
            <w:tcW w:type="dxa" w:w="224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23.3%</w:t>
            </w:r>
          </w:p>
        </w:tc>
        <w:tc>
          <w:tcPr>
            <w:tcW w:type="dxa" w:w="189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0.0052</w:t>
            </w:r>
          </w:p>
        </w:tc>
      </w:tr>
      <w:tr>
        <w:trPr>
          <w:cantSplit/>
        </w:trPr>
        <w:tc>
          <w:tcPr>
            <w:tcW w:type="dxa" w:w="2067"/>
            <w:vAlign w:val="center"/>
          </w:tcPr>
          <w:p>
            <w:pPr>
              <w:jc w:val="left"/>
            </w:pPr>
            <w:r>
              <w:rPr>
                <w:sz w:val="18"/>
              </w:rPr>
              <w:t>Strict grade I-IV AF/LCM, grade only</w:t>
            </w:r>
          </w:p>
        </w:tc>
        <w:tc>
          <w:tcPr>
            <w:tcW w:type="dxa" w:w="1723"/>
            <w:vAlign w:val="center"/>
          </w:tcPr>
          <w:p>
            <w:pPr>
              <w:jc w:val="center"/>
            </w:pPr>
            <w:r>
              <w:rPr>
                <w:sz w:val="18"/>
              </w:rPr>
              <w:t>50.0%</w:t>
            </w:r>
          </w:p>
        </w:tc>
        <w:tc>
          <w:tcPr>
            <w:tcW w:type="dxa" w:w="1723"/>
            <w:vAlign w:val="center"/>
          </w:tcPr>
          <w:p>
            <w:pPr>
              <w:jc w:val="center"/>
            </w:pPr>
            <w:r>
              <w:rPr>
                <w:sz w:val="18"/>
              </w:rPr>
              <w:t>74.2%</w:t>
            </w:r>
          </w:p>
        </w:tc>
        <w:tc>
          <w:tcPr>
            <w:tcW w:type="dxa" w:w="2240"/>
            <w:vAlign w:val="center"/>
          </w:tcPr>
          <w:p>
            <w:pPr>
              <w:jc w:val="center"/>
            </w:pPr>
            <w:r>
              <w:rPr>
                <w:sz w:val="18"/>
              </w:rPr>
              <w:t>23.3%</w:t>
            </w:r>
          </w:p>
        </w:tc>
        <w:tc>
          <w:tcPr>
            <w:tcW w:type="dxa" w:w="1895"/>
            <w:vAlign w:val="center"/>
          </w:tcPr>
          <w:p>
            <w:pPr>
              <w:jc w:val="center"/>
            </w:pPr>
            <w:r>
              <w:rPr>
                <w:sz w:val="18"/>
              </w:rPr>
              <w:t>0.0052</w:t>
            </w:r>
          </w:p>
        </w:tc>
      </w:tr>
    </w:tbl>
    <w:p/>
    <w:p>
      <w:pPr>
        <w:pStyle w:val="Heading1"/>
        <w:keepNext/>
      </w:pPr>
      <w:r>
        <w:t>Table S2. Cohort effect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cantSplit/>
          <w:tblHeader w:val="true"/>
        </w:trPr>
        <w:tc>
          <w:tcPr>
            <w:tcW w:type="dxa" w:w="1867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Analysis set</w:t>
            </w:r>
          </w:p>
        </w:tc>
        <w:tc>
          <w:tcPr>
            <w:tcW w:type="dxa" w:w="140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Samples</w:t>
            </w:r>
          </w:p>
        </w:tc>
        <w:tc>
          <w:tcPr>
            <w:tcW w:type="dxa" w:w="124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Donors</w:t>
            </w:r>
          </w:p>
        </w:tc>
        <w:tc>
          <w:tcPr>
            <w:tcW w:type="dxa" w:w="124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Genes</w:t>
            </w:r>
          </w:p>
        </w:tc>
        <w:tc>
          <w:tcPr>
            <w:tcW w:type="dxa" w:w="124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Up</w:t>
            </w:r>
          </w:p>
        </w:tc>
        <w:tc>
          <w:tcPr>
            <w:tcW w:type="dxa" w:w="140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Median effect</w:t>
            </w:r>
          </w:p>
        </w:tc>
        <w:tc>
          <w:tcPr>
            <w:tcW w:type="dxa" w:w="124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Global shift</w:t>
            </w:r>
          </w:p>
        </w:tc>
      </w:tr>
      <w:tr>
        <w:trPr>
          <w:cantSplit/>
        </w:trPr>
        <w:tc>
          <w:tcPr>
            <w:tcW w:type="dxa" w:w="1867"/>
            <w:vAlign w:val="center"/>
          </w:tcPr>
          <w:p>
            <w:pPr>
              <w:jc w:val="left"/>
            </w:pPr>
            <w:r>
              <w:rPr>
                <w:sz w:val="15"/>
              </w:rPr>
              <w:t>GSE70362 AF, all grades</w:t>
            </w:r>
          </w:p>
        </w:tc>
        <w:tc>
          <w:tcPr>
            <w:tcW w:type="dxa" w:w="1401"/>
            <w:vAlign w:val="center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18479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47.6%</w:t>
            </w:r>
          </w:p>
        </w:tc>
        <w:tc>
          <w:tcPr>
            <w:tcW w:type="dxa" w:w="1401"/>
            <w:vAlign w:val="center"/>
          </w:tcPr>
          <w:p>
            <w:pPr>
              <w:jc w:val="center"/>
            </w:pPr>
            <w:r>
              <w:rPr>
                <w:sz w:val="15"/>
              </w:rPr>
              <w:t>-0.0027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1867"/>
            <w:vAlign w:val="center"/>
            <w:shd w:fill="F2F4F7"/>
          </w:tcPr>
          <w:p>
            <w:pPr>
              <w:jc w:val="left"/>
            </w:pPr>
            <w:r>
              <w:rPr>
                <w:sz w:val="15"/>
              </w:rPr>
              <w:t>GSE70362 AF, grade I-IV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18479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43.6%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-0.0089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1867"/>
            <w:vAlign w:val="center"/>
          </w:tcPr>
          <w:p>
            <w:pPr>
              <w:jc w:val="left"/>
            </w:pPr>
            <w:r>
              <w:rPr>
                <w:sz w:val="15"/>
              </w:rPr>
              <w:t>GSE23130, all processing</w:t>
            </w:r>
          </w:p>
        </w:tc>
        <w:tc>
          <w:tcPr>
            <w:tcW w:type="dxa" w:w="1401"/>
            <w:vAlign w:val="center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22107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49.7%</w:t>
            </w:r>
          </w:p>
        </w:tc>
        <w:tc>
          <w:tcPr>
            <w:tcW w:type="dxa" w:w="1401"/>
            <w:vAlign w:val="center"/>
          </w:tcPr>
          <w:p>
            <w:pPr>
              <w:jc w:val="center"/>
            </w:pPr>
            <w:r>
              <w:rPr>
                <w:sz w:val="15"/>
              </w:rPr>
              <w:t>-0.0002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1867"/>
            <w:vAlign w:val="center"/>
            <w:shd w:fill="F2F4F7"/>
          </w:tcPr>
          <w:p>
            <w:pPr>
              <w:jc w:val="left"/>
            </w:pPr>
            <w:r>
              <w:rPr>
                <w:sz w:val="15"/>
              </w:rPr>
              <w:t>GSE23130 LCM, grade I-IV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22107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55.0%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+0.0075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1867"/>
            <w:vAlign w:val="center"/>
          </w:tcPr>
          <w:p>
            <w:pPr>
              <w:jc w:val="left"/>
            </w:pPr>
            <w:r>
              <w:rPr>
                <w:sz w:val="15"/>
              </w:rPr>
              <w:t>GSE70362 AF, grade I-IV, grade only</w:t>
            </w:r>
          </w:p>
        </w:tc>
        <w:tc>
          <w:tcPr>
            <w:tcW w:type="dxa" w:w="1401"/>
            <w:vAlign w:val="center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18479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43.4%</w:t>
            </w:r>
          </w:p>
        </w:tc>
        <w:tc>
          <w:tcPr>
            <w:tcW w:type="dxa" w:w="1401"/>
            <w:vAlign w:val="center"/>
          </w:tcPr>
          <w:p>
            <w:pPr>
              <w:jc w:val="center"/>
            </w:pPr>
            <w:r>
              <w:rPr>
                <w:sz w:val="15"/>
              </w:rPr>
              <w:t>-0.0084</w:t>
            </w:r>
          </w:p>
        </w:tc>
        <w:tc>
          <w:tcPr>
            <w:tcW w:type="dxa" w:w="1245"/>
            <w:vAlign w:val="center"/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1867"/>
            <w:vAlign w:val="center"/>
            <w:shd w:fill="F2F4F7"/>
          </w:tcPr>
          <w:p>
            <w:pPr>
              <w:jc w:val="left"/>
            </w:pPr>
            <w:r>
              <w:rPr>
                <w:sz w:val="15"/>
              </w:rPr>
              <w:t>GSE23130 LCM, grade I-IV, grade only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22107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51.6%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+0.0021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</w:tr>
    </w:tbl>
    <w:p/>
    <w:p>
      <w:pPr>
        <w:pStyle w:val="Heading1"/>
        <w:keepNext/>
      </w:pPr>
      <w:r>
        <w:t>Table S3. Internal split-half reliability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3886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cohort</w:t>
            </w:r>
          </w:p>
        </w:tc>
        <w:tc>
          <w:tcPr>
            <w:tcW w:type="dxa" w:w="160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gene_space</w:t>
            </w:r>
          </w:p>
        </w:tc>
        <w:tc>
          <w:tcPr>
            <w:tcW w:type="dxa" w:w="2814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median_spearman</w:t>
            </w:r>
          </w:p>
        </w:tc>
        <w:tc>
          <w:tcPr>
            <w:tcW w:type="dxa" w:w="1340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n_splits</w:t>
            </w:r>
          </w:p>
        </w:tc>
      </w:tr>
      <w:tr>
        <w:trPr>
          <w:cantSplit/>
        </w:trPr>
        <w:tc>
          <w:tcPr>
            <w:tcW w:type="dxa" w:w="3886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GSE70362_AF_all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2814"/>
            <w:vAlign w:val="center"/>
          </w:tcPr>
          <w:p>
            <w:pPr>
              <w:jc w:val="center"/>
            </w:pPr>
            <w:r>
              <w:rPr>
                <w:sz w:val="18"/>
              </w:rPr>
              <w:t>0.1983099325567557</w:t>
            </w:r>
          </w:p>
        </w:tc>
        <w:tc>
          <w:tcPr>
            <w:tcW w:type="dxa" w:w="134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GSE70362_AF_all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281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0.4075639599555061</w:t>
            </w:r>
          </w:p>
        </w:tc>
        <w:tc>
          <w:tcPr>
            <w:tcW w:type="dxa" w:w="134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GSE70362_AF_I_IV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2814"/>
            <w:vAlign w:val="center"/>
          </w:tcPr>
          <w:p>
            <w:pPr>
              <w:jc w:val="center"/>
            </w:pPr>
            <w:r>
              <w:rPr>
                <w:sz w:val="18"/>
              </w:rPr>
              <w:t>0.1383736790830905</w:t>
            </w:r>
          </w:p>
        </w:tc>
        <w:tc>
          <w:tcPr>
            <w:tcW w:type="dxa" w:w="134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GSE70362_AF_I_IV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281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0.3690767519466074</w:t>
            </w:r>
          </w:p>
        </w:tc>
        <w:tc>
          <w:tcPr>
            <w:tcW w:type="dxa" w:w="134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</w:tcPr>
          <w:p>
            <w:pPr>
              <w:jc w:val="left"/>
            </w:pPr>
            <w:r>
              <w:rPr>
                <w:sz w:val="18"/>
              </w:rPr>
              <w:t>GSE23130_all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2814"/>
            <w:vAlign w:val="center"/>
          </w:tcPr>
          <w:p>
            <w:pPr>
              <w:jc w:val="center"/>
            </w:pPr>
            <w:r>
              <w:rPr>
                <w:sz w:val="18"/>
              </w:rPr>
              <w:t>-0.0654864000493762</w:t>
            </w:r>
          </w:p>
        </w:tc>
        <w:tc>
          <w:tcPr>
            <w:tcW w:type="dxa" w:w="134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GSE23130_all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281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0.044758064516129</w:t>
            </w:r>
          </w:p>
        </w:tc>
        <w:tc>
          <w:tcPr>
            <w:tcW w:type="dxa" w:w="134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</w:tcPr>
          <w:p>
            <w:pPr>
              <w:jc w:val="left"/>
            </w:pPr>
            <w:r>
              <w:rPr>
                <w:sz w:val="18"/>
              </w:rPr>
              <w:t>GSE23130_LCM_all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2814"/>
            <w:vAlign w:val="center"/>
          </w:tcPr>
          <w:p>
            <w:pPr>
              <w:jc w:val="center"/>
            </w:pPr>
            <w:r>
              <w:rPr>
                <w:sz w:val="18"/>
              </w:rPr>
              <w:t>0.1337130096184392</w:t>
            </w:r>
          </w:p>
        </w:tc>
        <w:tc>
          <w:tcPr>
            <w:tcW w:type="dxa" w:w="134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GSE23130_LCM_all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281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0.4084677419354838</w:t>
            </w:r>
          </w:p>
        </w:tc>
        <w:tc>
          <w:tcPr>
            <w:tcW w:type="dxa" w:w="134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GSE70362_AF_I_IV_grade_only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2814"/>
            <w:vAlign w:val="center"/>
          </w:tcPr>
          <w:p>
            <w:pPr>
              <w:jc w:val="center"/>
            </w:pPr>
            <w:r>
              <w:rPr>
                <w:sz w:val="18"/>
              </w:rPr>
              <w:t>0.2353076937601182</w:t>
            </w:r>
          </w:p>
        </w:tc>
        <w:tc>
          <w:tcPr>
            <w:tcW w:type="dxa" w:w="134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GSE70362_AF_I_IV_grade_only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281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0.3388209121245829</w:t>
            </w:r>
          </w:p>
        </w:tc>
        <w:tc>
          <w:tcPr>
            <w:tcW w:type="dxa" w:w="134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</w:tcPr>
          <w:p>
            <w:pPr>
              <w:jc w:val="left"/>
            </w:pPr>
            <w:r>
              <w:rPr>
                <w:sz w:val="18"/>
              </w:rPr>
              <w:t>GSE23130_LCM_grade_only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2814"/>
            <w:vAlign w:val="center"/>
          </w:tcPr>
          <w:p>
            <w:pPr>
              <w:jc w:val="center"/>
            </w:pPr>
            <w:r>
              <w:rPr>
                <w:sz w:val="18"/>
              </w:rPr>
              <w:t>0.2382855306866113</w:t>
            </w:r>
          </w:p>
        </w:tc>
        <w:tc>
          <w:tcPr>
            <w:tcW w:type="dxa" w:w="134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8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GSE23130_LCM_grade_only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281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0.7268145161290323</w:t>
            </w:r>
          </w:p>
        </w:tc>
        <w:tc>
          <w:tcPr>
            <w:tcW w:type="dxa" w:w="134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</w:tbl>
    <w:p/>
    <w:p>
      <w:pPr>
        <w:pStyle w:val="Heading1"/>
        <w:keepNext/>
      </w:pPr>
      <w:r>
        <w:t>Table S4. Full MSigDB audit</w:t>
      </w:r>
    </w:p>
    <w:p>
      <w:r>
        <w:t>The complete audit of 1554 modules is provided as `results/msigdb_module_audit.csv`.</w:t>
      </w:r>
    </w:p>
    <w:p>
      <w:pPr>
        <w:pStyle w:val="Heading1"/>
        <w:keepNext/>
      </w:pPr>
      <w:r>
        <w:t>Table S5. Pairwise tissue cohort concordance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1830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133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Genes</w:t>
            </w:r>
          </w:p>
        </w:tc>
        <w:tc>
          <w:tcPr>
            <w:tcW w:type="dxa" w:w="216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Concordance</w:t>
            </w:r>
          </w:p>
        </w:tc>
        <w:tc>
          <w:tcPr>
            <w:tcW w:type="dxa" w:w="432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Exact p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GSE186542 vs GSE167199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13441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58.6%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5.673517 x 10^-90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GSE167199 vs GSE146904</w:t>
            </w:r>
          </w:p>
        </w:tc>
        <w:tc>
          <w:tcPr>
            <w:tcW w:type="dxa" w:w="133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13788</w:t>
            </w:r>
          </w:p>
        </w:tc>
        <w:tc>
          <w:tcPr>
            <w:tcW w:type="dxa" w:w="21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57.4%</w:t>
            </w:r>
          </w:p>
        </w:tc>
        <w:tc>
          <w:tcPr>
            <w:tcW w:type="dxa" w:w="432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1.948720 x 10^-67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GSE23130 vs GSE146904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13960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53.6%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4.187344 x 10^-18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GSE70362 vs GSE23130</w:t>
            </w:r>
          </w:p>
        </w:tc>
        <w:tc>
          <w:tcPr>
            <w:tcW w:type="dxa" w:w="133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14004</w:t>
            </w:r>
          </w:p>
        </w:tc>
        <w:tc>
          <w:tcPr>
            <w:tcW w:type="dxa" w:w="21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51.4%</w:t>
            </w:r>
          </w:p>
        </w:tc>
        <w:tc>
          <w:tcPr>
            <w:tcW w:type="dxa" w:w="432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3.510011 x 10^-4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GSE23130 vs GSE207176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14004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51.3%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7.647001 x 10^-4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GSE23130 vs GSE167199</w:t>
            </w:r>
          </w:p>
        </w:tc>
        <w:tc>
          <w:tcPr>
            <w:tcW w:type="dxa" w:w="133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13827</w:t>
            </w:r>
          </w:p>
        </w:tc>
        <w:tc>
          <w:tcPr>
            <w:tcW w:type="dxa" w:w="21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50.9%</w:t>
            </w:r>
          </w:p>
        </w:tc>
        <w:tc>
          <w:tcPr>
            <w:tcW w:type="dxa" w:w="432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0.0135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 vs GSE186542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13563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49.7%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0.7593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GSE70362 vs GSE146904</w:t>
            </w:r>
          </w:p>
        </w:tc>
        <w:tc>
          <w:tcPr>
            <w:tcW w:type="dxa" w:w="133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13960</w:t>
            </w:r>
          </w:p>
        </w:tc>
        <w:tc>
          <w:tcPr>
            <w:tcW w:type="dxa" w:w="21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49.4%</w:t>
            </w:r>
          </w:p>
        </w:tc>
        <w:tc>
          <w:tcPr>
            <w:tcW w:type="dxa" w:w="432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0.9212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 vs GSE207176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14004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49.1%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0.9880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GSE23130 vs GSE186542</w:t>
            </w:r>
          </w:p>
        </w:tc>
        <w:tc>
          <w:tcPr>
            <w:tcW w:type="dxa" w:w="133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13563</w:t>
            </w:r>
          </w:p>
        </w:tc>
        <w:tc>
          <w:tcPr>
            <w:tcW w:type="dxa" w:w="21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48.7%</w:t>
            </w:r>
          </w:p>
        </w:tc>
        <w:tc>
          <w:tcPr>
            <w:tcW w:type="dxa" w:w="432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0.9988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 vs GSE167199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13827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47.6%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GSE186542 vs GSE146904</w:t>
            </w:r>
          </w:p>
        </w:tc>
        <w:tc>
          <w:tcPr>
            <w:tcW w:type="dxa" w:w="133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13554</w:t>
            </w:r>
          </w:p>
        </w:tc>
        <w:tc>
          <w:tcPr>
            <w:tcW w:type="dxa" w:w="21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44.2%</w:t>
            </w:r>
          </w:p>
        </w:tc>
        <w:tc>
          <w:tcPr>
            <w:tcW w:type="dxa" w:w="432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GSE186542 vs GSE207176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13563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42.5%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GSE146904 vs GSE207176</w:t>
            </w:r>
          </w:p>
        </w:tc>
        <w:tc>
          <w:tcPr>
            <w:tcW w:type="dxa" w:w="133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13960</w:t>
            </w:r>
          </w:p>
        </w:tc>
        <w:tc>
          <w:tcPr>
            <w:tcW w:type="dxa" w:w="21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41.8%</w:t>
            </w:r>
          </w:p>
        </w:tc>
        <w:tc>
          <w:tcPr>
            <w:tcW w:type="dxa" w:w="432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830"/>
            <w:vAlign w:val="center"/>
          </w:tcPr>
          <w:p>
            <w:pPr>
              <w:jc w:val="left"/>
            </w:pPr>
            <w:r>
              <w:rPr>
                <w:sz w:val="18"/>
              </w:rPr>
              <w:t>GSE167199 vs GSE207176</w:t>
            </w:r>
          </w:p>
        </w:tc>
        <w:tc>
          <w:tcPr>
            <w:tcW w:type="dxa" w:w="1331"/>
            <w:vAlign w:val="center"/>
          </w:tcPr>
          <w:p>
            <w:pPr>
              <w:jc w:val="center"/>
            </w:pPr>
            <w:r>
              <w:rPr>
                <w:sz w:val="18"/>
              </w:rPr>
              <w:t>13827</w:t>
            </w:r>
          </w:p>
        </w:tc>
        <w:tc>
          <w:tcPr>
            <w:tcW w:type="dxa" w:w="2162"/>
            <w:vAlign w:val="center"/>
          </w:tcPr>
          <w:p>
            <w:pPr>
              <w:jc w:val="center"/>
            </w:pPr>
            <w:r>
              <w:rPr>
                <w:sz w:val="18"/>
              </w:rPr>
              <w:t>38.7%</w:t>
            </w:r>
          </w:p>
        </w:tc>
        <w:tc>
          <w:tcPr>
            <w:tcW w:type="dxa" w:w="4325"/>
            <w:vAlign w:val="center"/>
          </w:tcPr>
          <w:p>
            <w:pPr>
              <w:jc w:val="center"/>
            </w:pPr>
            <w:r>
              <w:rPr>
                <w:sz w:val="18"/>
              </w:rPr>
              <w:t>1.0000</w:t>
            </w:r>
          </w:p>
        </w:tc>
      </w:tr>
    </w:tbl>
    <w:p/>
    <w:p>
      <w:pPr>
        <w:pStyle w:val="Heading1"/>
        <w:keepNext/>
      </w:pPr>
      <w:r>
        <w:t>Table S6. Prespecified mechanism modules</w:t>
      </w:r>
    </w:p>
    <w:p>
      <w:r>
        <w:t>The complete comparison is provided as `results/curated_module_audit.csv`.</w:t>
      </w:r>
    </w:p>
    <w:p>
      <w:pPr>
        <w:pStyle w:val="Heading1"/>
        <w:keepNext/>
      </w:pPr>
      <w:r>
        <w:t>Table S7. Donor-level sensitivity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rPr>
          <w:cantSplit/>
          <w:tblHeader w:val="true"/>
        </w:trPr>
        <w:tc>
          <w:tcPr>
            <w:tcW w:type="dxa" w:w="1425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Sensitivity model</w:t>
            </w:r>
          </w:p>
        </w:tc>
        <w:tc>
          <w:tcPr>
            <w:tcW w:type="dxa" w:w="131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Replicates</w:t>
            </w:r>
          </w:p>
        </w:tc>
        <w:tc>
          <w:tcPr>
            <w:tcW w:type="dxa" w:w="109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Fraction up</w:t>
            </w:r>
          </w:p>
        </w:tc>
        <w:tc>
          <w:tcPr>
            <w:tcW w:type="dxa" w:w="87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Up 2.5%</w:t>
            </w:r>
          </w:p>
        </w:tc>
        <w:tc>
          <w:tcPr>
            <w:tcW w:type="dxa" w:w="87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Up 97.5%</w:t>
            </w:r>
          </w:p>
        </w:tc>
        <w:tc>
          <w:tcPr>
            <w:tcW w:type="dxa" w:w="142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Concordance</w:t>
            </w:r>
          </w:p>
        </w:tc>
        <w:tc>
          <w:tcPr>
            <w:tcW w:type="dxa" w:w="87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Conc 2.5%</w:t>
            </w:r>
          </w:p>
        </w:tc>
        <w:tc>
          <w:tcPr>
            <w:tcW w:type="dxa" w:w="87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Conc 97.5%</w:t>
            </w:r>
          </w:p>
        </w:tc>
        <w:tc>
          <w:tcPr>
            <w:tcW w:type="dxa" w:w="87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Effect rho</w:t>
            </w:r>
          </w:p>
        </w:tc>
      </w:tr>
      <w:tr>
        <w:trPr>
          <w:cantSplit/>
        </w:trPr>
        <w:tc>
          <w:tcPr>
            <w:tcW w:type="dxa" w:w="1425"/>
            <w:vAlign w:val="center"/>
          </w:tcPr>
          <w:p>
            <w:pPr>
              <w:jc w:val="left"/>
            </w:pPr>
            <w:r>
              <w:rPr>
                <w:sz w:val="13"/>
              </w:rPr>
              <w:t>Donor cluster bootstrap</w:t>
            </w:r>
          </w:p>
        </w:tc>
        <w:tc>
          <w:tcPr>
            <w:tcW w:type="dxa" w:w="1316"/>
            <w:vAlign w:val="center"/>
          </w:tcPr>
          <w:p>
            <w:pPr>
              <w:jc w:val="center"/>
            </w:pPr>
            <w:r>
              <w:rPr>
                <w:sz w:val="13"/>
              </w:rPr>
              <w:t>300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sz w:val="13"/>
              </w:rPr>
              <w:t>50.0%</w:t>
            </w:r>
          </w:p>
        </w:tc>
        <w:tc>
          <w:tcPr>
            <w:tcW w:type="dxa" w:w="877"/>
            <w:vAlign w:val="center"/>
          </w:tcPr>
          <w:p>
            <w:pPr>
              <w:jc w:val="center"/>
            </w:pPr>
            <w:r>
              <w:rPr>
                <w:sz w:val="13"/>
              </w:rPr>
              <w:t>36.7%</w:t>
            </w:r>
          </w:p>
        </w:tc>
        <w:tc>
          <w:tcPr>
            <w:tcW w:type="dxa" w:w="877"/>
            <w:vAlign w:val="center"/>
          </w:tcPr>
          <w:p>
            <w:pPr>
              <w:jc w:val="center"/>
            </w:pPr>
            <w:r>
              <w:rPr>
                <w:sz w:val="13"/>
              </w:rPr>
              <w:t>60.0%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>
              <w:rPr>
                <w:sz w:val="13"/>
              </w:rPr>
              <w:t>33.3%</w:t>
            </w:r>
          </w:p>
        </w:tc>
        <w:tc>
          <w:tcPr>
            <w:tcW w:type="dxa" w:w="877"/>
            <w:vAlign w:val="center"/>
          </w:tcPr>
          <w:p>
            <w:pPr>
              <w:jc w:val="center"/>
            </w:pPr>
            <w:r>
              <w:rPr>
                <w:sz w:val="13"/>
              </w:rPr>
              <w:t>20.0%</w:t>
            </w:r>
          </w:p>
        </w:tc>
        <w:tc>
          <w:tcPr>
            <w:tcW w:type="dxa" w:w="877"/>
            <w:vAlign w:val="center"/>
          </w:tcPr>
          <w:p>
            <w:pPr>
              <w:jc w:val="center"/>
            </w:pPr>
            <w:r>
              <w:rPr>
                <w:sz w:val="13"/>
              </w:rPr>
              <w:t>53.3%</w:t>
            </w:r>
          </w:p>
        </w:tc>
        <w:tc>
          <w:tcPr>
            <w:tcW w:type="dxa" w:w="877"/>
            <w:vAlign w:val="center"/>
          </w:tcPr>
          <w:p>
            <w:pPr>
              <w:jc w:val="center"/>
            </w:pPr>
            <w:r>
              <w:rPr>
                <w:sz w:val="13"/>
              </w:rPr>
              <w:t>-0.450</w:t>
            </w:r>
          </w:p>
        </w:tc>
      </w:tr>
      <w:tr>
        <w:trPr>
          <w:cantSplit/>
        </w:trPr>
        <w:tc>
          <w:tcPr>
            <w:tcW w:type="dxa" w:w="1425"/>
            <w:vAlign w:val="center"/>
            <w:shd w:fill="F2F4F7"/>
          </w:tcPr>
          <w:p>
            <w:pPr>
              <w:jc w:val="left"/>
            </w:pPr>
            <w:r>
              <w:rPr>
                <w:sz w:val="13"/>
              </w:rPr>
              <w:t>One sample per donor</w:t>
            </w:r>
          </w:p>
        </w:tc>
        <w:tc>
          <w:tcPr>
            <w:tcW w:type="dxa" w:w="1316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300</w:t>
            </w:r>
          </w:p>
        </w:tc>
        <w:tc>
          <w:tcPr>
            <w:tcW w:type="dxa" w:w="1096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50.0%</w:t>
            </w:r>
          </w:p>
        </w:tc>
        <w:tc>
          <w:tcPr>
            <w:tcW w:type="dxa" w:w="877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46.7%</w:t>
            </w:r>
          </w:p>
        </w:tc>
        <w:tc>
          <w:tcPr>
            <w:tcW w:type="dxa" w:w="877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53.3%</w:t>
            </w:r>
          </w:p>
        </w:tc>
        <w:tc>
          <w:tcPr>
            <w:tcW w:type="dxa" w:w="1425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30.0%</w:t>
            </w:r>
          </w:p>
        </w:tc>
        <w:tc>
          <w:tcPr>
            <w:tcW w:type="dxa" w:w="877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23.3%</w:t>
            </w:r>
          </w:p>
        </w:tc>
        <w:tc>
          <w:tcPr>
            <w:tcW w:type="dxa" w:w="877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33.3%</w:t>
            </w:r>
          </w:p>
        </w:tc>
        <w:tc>
          <w:tcPr>
            <w:tcW w:type="dxa" w:w="877"/>
            <w:vAlign w:val="center"/>
            <w:shd w:fill="F2F4F7"/>
          </w:tcPr>
          <w:p>
            <w:pPr>
              <w:jc w:val="center"/>
            </w:pPr>
            <w:r>
              <w:rPr>
                <w:sz w:val="13"/>
              </w:rPr>
              <w:t>-0.498</w:t>
            </w:r>
          </w:p>
        </w:tc>
      </w:tr>
    </w:tbl>
    <w:p/>
    <w:p>
      <w:pPr>
        <w:pStyle w:val="Heading1"/>
        <w:keepNext/>
      </w:pPr>
      <w:r>
        <w:t>Table S8. Reliability attenuation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986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Latent correlation</w:t>
            </w:r>
          </w:p>
        </w:tc>
        <w:tc>
          <w:tcPr>
            <w:tcW w:type="dxa" w:w="298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concordance</w:t>
            </w:r>
          </w:p>
        </w:tc>
        <w:tc>
          <w:tcPr>
            <w:tcW w:type="dxa" w:w="183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2.5%</w:t>
            </w:r>
          </w:p>
        </w:tc>
        <w:tc>
          <w:tcPr>
            <w:tcW w:type="dxa" w:w="183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97.5%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sz w:val="18"/>
              </w:rPr>
              <w:t>50.0%</w:t>
            </w:r>
          </w:p>
        </w:tc>
        <w:tc>
          <w:tcPr>
            <w:tcW w:type="dxa" w:w="1838"/>
            <w:vAlign w:val="center"/>
          </w:tcPr>
          <w:p>
            <w:pPr>
              <w:jc w:val="center"/>
            </w:pPr>
            <w:r>
              <w:rPr>
                <w:sz w:val="18"/>
              </w:rPr>
              <w:t>33.3%</w:t>
            </w:r>
          </w:p>
        </w:tc>
        <w:tc>
          <w:tcPr>
            <w:tcW w:type="dxa" w:w="1838"/>
            <w:vAlign w:val="center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  <w:tr>
        <w:trPr>
          <w:cantSplit/>
        </w:trPr>
        <w:tc>
          <w:tcPr>
            <w:tcW w:type="dxa" w:w="29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0.2</w:t>
            </w:r>
          </w:p>
        </w:tc>
        <w:tc>
          <w:tcPr>
            <w:tcW w:type="dxa" w:w="298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53.5%</w:t>
            </w:r>
          </w:p>
        </w:tc>
        <w:tc>
          <w:tcPr>
            <w:tcW w:type="dxa" w:w="183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36.7%</w:t>
            </w:r>
          </w:p>
        </w:tc>
        <w:tc>
          <w:tcPr>
            <w:tcW w:type="dxa" w:w="183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70.0%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jc w:val="left"/>
            </w:pPr>
            <w:r>
              <w:rPr>
                <w:sz w:val="18"/>
              </w:rPr>
              <w:t>0.4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sz w:val="18"/>
              </w:rPr>
              <w:t>57.1%</w:t>
            </w:r>
          </w:p>
        </w:tc>
        <w:tc>
          <w:tcPr>
            <w:tcW w:type="dxa" w:w="1838"/>
            <w:vAlign w:val="center"/>
          </w:tcPr>
          <w:p>
            <w:pPr>
              <w:jc w:val="center"/>
            </w:pPr>
            <w:r>
              <w:rPr>
                <w:sz w:val="18"/>
              </w:rPr>
              <w:t>40.0%</w:t>
            </w:r>
          </w:p>
        </w:tc>
        <w:tc>
          <w:tcPr>
            <w:tcW w:type="dxa" w:w="1838"/>
            <w:vAlign w:val="center"/>
          </w:tcPr>
          <w:p>
            <w:pPr>
              <w:jc w:val="center"/>
            </w:pPr>
            <w:r>
              <w:rPr>
                <w:sz w:val="18"/>
              </w:rPr>
              <w:t>73.3%</w:t>
            </w:r>
          </w:p>
        </w:tc>
      </w:tr>
      <w:tr>
        <w:trPr>
          <w:cantSplit/>
        </w:trPr>
        <w:tc>
          <w:tcPr>
            <w:tcW w:type="dxa" w:w="298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0.6</w:t>
            </w:r>
          </w:p>
        </w:tc>
        <w:tc>
          <w:tcPr>
            <w:tcW w:type="dxa" w:w="298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60.8%</w:t>
            </w:r>
          </w:p>
        </w:tc>
        <w:tc>
          <w:tcPr>
            <w:tcW w:type="dxa" w:w="183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43.3%</w:t>
            </w:r>
          </w:p>
        </w:tc>
        <w:tc>
          <w:tcPr>
            <w:tcW w:type="dxa" w:w="183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76.7%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jc w:val="left"/>
            </w:pPr>
            <w:r>
              <w:rPr>
                <w:sz w:val="18"/>
              </w:rPr>
              <w:t>0.8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sz w:val="18"/>
              </w:rPr>
              <w:t>64.6%</w:t>
            </w:r>
          </w:p>
        </w:tc>
        <w:tc>
          <w:tcPr>
            <w:tcW w:type="dxa" w:w="1838"/>
            <w:vAlign w:val="center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1838"/>
            <w:vAlign w:val="center"/>
          </w:tcPr>
          <w:p>
            <w:pPr>
              <w:jc w:val="center"/>
            </w:pPr>
            <w:r>
              <w:rPr>
                <w:sz w:val="18"/>
              </w:rPr>
              <w:t>80.0%</w:t>
            </w:r>
          </w:p>
        </w:tc>
      </w:tr>
    </w:tbl>
    <w:p/>
    <w:p>
      <w:pPr>
        <w:pStyle w:val="Heading1"/>
        <w:keepNext/>
      </w:pPr>
      <w:r>
        <w:t>Table S9. Effective independent genes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473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cohort</w:t>
            </w:r>
          </w:p>
        </w:tc>
        <w:tc>
          <w:tcPr>
            <w:tcW w:type="dxa" w:w="231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gene_space</w:t>
            </w:r>
          </w:p>
        </w:tc>
        <w:tc>
          <w:tcPr>
            <w:tcW w:type="dxa" w:w="3859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effective_genes</w:t>
            </w:r>
          </w:p>
        </w:tc>
      </w:tr>
      <w:tr>
        <w:trPr>
          <w:cantSplit/>
        </w:trPr>
        <w:tc>
          <w:tcPr>
            <w:tcW w:type="dxa" w:w="3473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GSE70362_AF_I_IV</w:t>
            </w:r>
          </w:p>
        </w:tc>
        <w:tc>
          <w:tcPr>
            <w:tcW w:type="dxa" w:w="2316"/>
            <w:vAlign w:val="center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3859"/>
            <w:vAlign w:val="center"/>
          </w:tcPr>
          <w:p>
            <w:pPr>
              <w:jc w:val="center"/>
            </w:pPr>
            <w:r>
              <w:rPr>
                <w:sz w:val="18"/>
              </w:rPr>
              <w:t>6.842470672703271</w:t>
            </w:r>
          </w:p>
        </w:tc>
      </w:tr>
      <w:tr>
        <w:trPr>
          <w:cantSplit/>
        </w:trPr>
        <w:tc>
          <w:tcPr>
            <w:tcW w:type="dxa" w:w="3473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GSE23130_LCM_all</w:t>
            </w:r>
          </w:p>
        </w:tc>
        <w:tc>
          <w:tcPr>
            <w:tcW w:type="dxa" w:w="231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ECM</w:t>
            </w:r>
          </w:p>
        </w:tc>
        <w:tc>
          <w:tcPr>
            <w:tcW w:type="dxa" w:w="385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5.9055599648777015</w:t>
            </w:r>
          </w:p>
        </w:tc>
      </w:tr>
    </w:tbl>
    <w:p/>
    <w:p>
      <w:pPr>
        <w:pStyle w:val="Heading1"/>
        <w:keepNext/>
      </w:pPr>
      <w:r>
        <w:t>Table S10. Expression-matched ECM null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cantSplit/>
          <w:tblHeader w:val="true"/>
        </w:trPr>
        <w:tc>
          <w:tcPr>
            <w:tcW w:type="dxa" w:w="1054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730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n_genes</w:t>
            </w:r>
          </w:p>
        </w:tc>
        <w:tc>
          <w:tcPr>
            <w:tcW w:type="dxa" w:w="170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empirical_p_greater</w:t>
            </w:r>
          </w:p>
        </w:tc>
        <w:tc>
          <w:tcPr>
            <w:tcW w:type="dxa" w:w="162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empirical_p_less</w:t>
            </w:r>
          </w:p>
        </w:tc>
        <w:tc>
          <w:tcPr>
            <w:tcW w:type="dxa" w:w="186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empirical_p_two_sided</w:t>
            </w:r>
          </w:p>
        </w:tc>
        <w:tc>
          <w:tcPr>
            <w:tcW w:type="dxa" w:w="1054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null_median</w:t>
            </w:r>
          </w:p>
        </w:tc>
        <w:tc>
          <w:tcPr>
            <w:tcW w:type="dxa" w:w="162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null_upper_95</w:t>
            </w:r>
          </w:p>
        </w:tc>
      </w:tr>
      <w:tr>
        <w:trPr>
          <w:cantSplit/>
        </w:trPr>
        <w:tc>
          <w:tcPr>
            <w:tcW w:type="dxa" w:w="1054"/>
            <w:vAlign w:val="center"/>
          </w:tcPr>
          <w:p>
            <w:pPr>
              <w:jc w:val="left"/>
            </w:pPr>
            <w:r>
              <w:rPr>
                <w:sz w:val="15"/>
              </w:rPr>
              <w:t>ECM remodelling</w:t>
            </w:r>
          </w:p>
        </w:tc>
        <w:tc>
          <w:tcPr>
            <w:tcW w:type="dxa" w:w="730"/>
            <w:vAlign w:val="center"/>
          </w:tcPr>
          <w:p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703"/>
            <w:vAlign w:val="center"/>
          </w:tcPr>
          <w:p>
            <w:pPr>
              <w:jc w:val="center"/>
            </w:pPr>
            <w:r>
              <w:rPr>
                <w:sz w:val="15"/>
              </w:rPr>
              <w:t>0.9988002399520096</w:t>
            </w:r>
          </w:p>
        </w:tc>
        <w:tc>
          <w:tcPr>
            <w:tcW w:type="dxa" w:w="1622"/>
            <w:vAlign w:val="center"/>
          </w:tcPr>
          <w:p>
            <w:pPr>
              <w:jc w:val="center"/>
            </w:pPr>
            <w:r>
              <w:rPr>
                <w:sz w:val="15"/>
              </w:rPr>
              <w:t>0.0045990801839632</w:t>
            </w:r>
          </w:p>
        </w:tc>
        <w:tc>
          <w:tcPr>
            <w:tcW w:type="dxa" w:w="1865"/>
            <w:vAlign w:val="center"/>
          </w:tcPr>
          <w:p>
            <w:pPr>
              <w:jc w:val="center"/>
            </w:pPr>
            <w:r>
              <w:rPr>
                <w:sz w:val="15"/>
              </w:rPr>
              <w:t>0.0091981603679264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5"/>
              </w:rPr>
              <w:t>0.5</w:t>
            </w:r>
          </w:p>
        </w:tc>
        <w:tc>
          <w:tcPr>
            <w:tcW w:type="dxa" w:w="1622"/>
            <w:vAlign w:val="center"/>
          </w:tcPr>
          <w:p>
            <w:pPr>
              <w:jc w:val="center"/>
            </w:pPr>
            <w:r>
              <w:rPr>
                <w:sz w:val="15"/>
              </w:rPr>
              <w:t>0.6333333333333333</w:t>
            </w:r>
          </w:p>
        </w:tc>
      </w:tr>
    </w:tbl>
    <w:p/>
    <w:p>
      <w:pPr>
        <w:pStyle w:val="Heading1"/>
        <w:keepNext/>
      </w:pPr>
      <w:r>
        <w:t>Table S11. Cross-half positive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 w:val="true"/>
        </w:trPr>
        <w:tc>
          <w:tcPr>
            <w:tcW w:type="dxa" w:w="2592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Cohort</w:t>
            </w:r>
          </w:p>
        </w:tc>
        <w:tc>
          <w:tcPr>
            <w:tcW w:type="dxa" w:w="172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Replicates</w:t>
            </w:r>
          </w:p>
        </w:tc>
        <w:tc>
          <w:tcPr>
            <w:tcW w:type="dxa" w:w="187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Concordance</w:t>
            </w:r>
          </w:p>
        </w:tc>
        <w:tc>
          <w:tcPr>
            <w:tcW w:type="dxa" w:w="115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2.5%</w:t>
            </w:r>
          </w:p>
        </w:tc>
        <w:tc>
          <w:tcPr>
            <w:tcW w:type="dxa" w:w="115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97.5%</w:t>
            </w:r>
          </w:p>
        </w:tc>
        <w:tc>
          <w:tcPr>
            <w:tcW w:type="dxa" w:w="115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Effect rho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6"/>
              </w:rPr>
              <w:t>GSE70362_AF_I_IV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63.3%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80.0%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0.365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4F7"/>
          </w:tcPr>
          <w:p>
            <w:pPr>
              <w:jc w:val="left"/>
            </w:pPr>
            <w:r>
              <w:rPr>
                <w:sz w:val="16"/>
              </w:rPr>
              <w:t>GSE23130_LCM_all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sz w:val="16"/>
              </w:rPr>
              <w:t>64.5%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>
              <w:rPr>
                <w:sz w:val="16"/>
              </w:rPr>
              <w:t>38.7%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>
              <w:rPr>
                <w:sz w:val="16"/>
              </w:rPr>
              <w:t>77.4%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>
              <w:rPr>
                <w:sz w:val="16"/>
              </w:rPr>
              <w:t>0.380</w:t>
            </w:r>
          </w:p>
        </w:tc>
      </w:tr>
    </w:tbl>
    <w:p/>
    <w:p>
      <w:pPr>
        <w:pStyle w:val="Heading1"/>
        <w:keepNext/>
      </w:pPr>
      <w:r>
        <w:t>Table S12. Weighted concordance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 w:val="true"/>
        </w:trPr>
        <w:tc>
          <w:tcPr>
            <w:tcW w:type="dxa" w:w="5973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7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973"/>
            <w:vAlign w:val="center"/>
          </w:tcPr>
          <w:p>
            <w:pPr>
              <w:jc w:val="left"/>
            </w:pPr>
            <w:r>
              <w:rPr>
                <w:sz w:val="18"/>
              </w:rPr>
              <w:t>Unweighted sign concordance</w:t>
            </w:r>
          </w:p>
        </w:tc>
        <w:tc>
          <w:tcPr>
            <w:tcW w:type="dxa" w:w="3675"/>
            <w:vAlign w:val="center"/>
          </w:tcPr>
          <w:p>
            <w:pPr>
              <w:jc w:val="center"/>
            </w:pPr>
            <w:r>
              <w:rPr>
                <w:sz w:val="18"/>
              </w:rPr>
              <w:t>23.3%</w:t>
            </w:r>
          </w:p>
        </w:tc>
      </w:tr>
      <w:tr>
        <w:trPr>
          <w:cantSplit/>
        </w:trPr>
        <w:tc>
          <w:tcPr>
            <w:tcW w:type="dxa" w:w="5973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Effect-size weighted concordance</w:t>
            </w:r>
          </w:p>
        </w:tc>
        <w:tc>
          <w:tcPr>
            <w:tcW w:type="dxa" w:w="367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24.2%</w:t>
            </w:r>
          </w:p>
        </w:tc>
      </w:tr>
      <w:tr>
        <w:trPr>
          <w:cantSplit/>
        </w:trPr>
        <w:tc>
          <w:tcPr>
            <w:tcW w:type="dxa" w:w="5973"/>
            <w:vAlign w:val="center"/>
          </w:tcPr>
          <w:p>
            <w:pPr>
              <w:jc w:val="left"/>
            </w:pPr>
            <w:r>
              <w:rPr>
                <w:sz w:val="18"/>
              </w:rPr>
              <w:t>Top-half effect concordance</w:t>
            </w:r>
          </w:p>
        </w:tc>
        <w:tc>
          <w:tcPr>
            <w:tcW w:type="dxa" w:w="3675"/>
            <w:vAlign w:val="center"/>
          </w:tcPr>
          <w:p>
            <w:pPr>
              <w:jc w:val="center"/>
            </w:pPr>
            <w:r>
              <w:rPr>
                <w:sz w:val="18"/>
              </w:rPr>
              <w:t>26.7%</w:t>
            </w:r>
          </w:p>
        </w:tc>
      </w:tr>
      <w:tr>
        <w:trPr>
          <w:cantSplit/>
        </w:trPr>
        <w:tc>
          <w:tcPr>
            <w:tcW w:type="dxa" w:w="5973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Effect-size Spearman rho</w:t>
            </w:r>
          </w:p>
        </w:tc>
        <w:tc>
          <w:tcPr>
            <w:tcW w:type="dxa" w:w="367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-0.495</w:t>
            </w:r>
          </w:p>
        </w:tc>
      </w:tr>
    </w:tbl>
    <w:p/>
    <w:p>
      <w:pPr>
        <w:pStyle w:val="Heading1"/>
        <w:keepNext/>
      </w:pPr>
      <w:r>
        <w:t>Table S13. Power calibration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Latent correlation</w:t>
            </w:r>
          </w:p>
        </w:tc>
        <w:tc>
          <w:tcPr>
            <w:tcW w:type="dxa" w:w="2200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concordance</w:t>
            </w:r>
          </w:p>
        </w:tc>
        <w:tc>
          <w:tcPr>
            <w:tcW w:type="dxa" w:w="152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Power, nominal n</w:t>
            </w:r>
          </w:p>
        </w:tc>
        <w:tc>
          <w:tcPr>
            <w:tcW w:type="dxa" w:w="186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Power, effective n</w:t>
            </w:r>
          </w:p>
        </w:tc>
        <w:tc>
          <w:tcPr>
            <w:tcW w:type="dxa" w:w="186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Effective genes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sz w:val="18"/>
              </w:rPr>
              <w:t>50.0%</w:t>
            </w:r>
          </w:p>
        </w:tc>
        <w:tc>
          <w:tcPr>
            <w:tcW w:type="dxa" w:w="1523"/>
            <w:vAlign w:val="center"/>
          </w:tcPr>
          <w:p>
            <w:pPr>
              <w:jc w:val="center"/>
            </w:pPr>
            <w:r>
              <w:rPr>
                <w:sz w:val="18"/>
              </w:rPr>
              <w:t>4.4%</w:t>
            </w:r>
          </w:p>
        </w:tc>
        <w:tc>
          <w:tcPr>
            <w:tcW w:type="dxa" w:w="1862"/>
            <w:vAlign w:val="center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  <w:tc>
          <w:tcPr>
            <w:tcW w:type="dxa" w:w="1862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0.2</w:t>
            </w:r>
          </w:p>
        </w:tc>
        <w:tc>
          <w:tcPr>
            <w:tcW w:type="dxa" w:w="220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53.7%</w:t>
            </w:r>
          </w:p>
        </w:tc>
        <w:tc>
          <w:tcPr>
            <w:tcW w:type="dxa" w:w="152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6.2%</w:t>
            </w:r>
          </w:p>
        </w:tc>
        <w:tc>
          <w:tcPr>
            <w:tcW w:type="dxa" w:w="18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  <w:tc>
          <w:tcPr>
            <w:tcW w:type="dxa" w:w="18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sz w:val="18"/>
              </w:rPr>
              <w:t>0.4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sz w:val="18"/>
              </w:rPr>
              <w:t>57.4%</w:t>
            </w:r>
          </w:p>
        </w:tc>
        <w:tc>
          <w:tcPr>
            <w:tcW w:type="dxa" w:w="1523"/>
            <w:vAlign w:val="center"/>
          </w:tcPr>
          <w:p>
            <w:pPr>
              <w:jc w:val="center"/>
            </w:pPr>
            <w:r>
              <w:rPr>
                <w:sz w:val="18"/>
              </w:rPr>
              <w:t>11.1%</w:t>
            </w:r>
          </w:p>
        </w:tc>
        <w:tc>
          <w:tcPr>
            <w:tcW w:type="dxa" w:w="1862"/>
            <w:vAlign w:val="center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  <w:tc>
          <w:tcPr>
            <w:tcW w:type="dxa" w:w="1862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0.6</w:t>
            </w:r>
          </w:p>
        </w:tc>
        <w:tc>
          <w:tcPr>
            <w:tcW w:type="dxa" w:w="220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60.9%</w:t>
            </w:r>
          </w:p>
        </w:tc>
        <w:tc>
          <w:tcPr>
            <w:tcW w:type="dxa" w:w="152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20.4%</w:t>
            </w:r>
          </w:p>
        </w:tc>
        <w:tc>
          <w:tcPr>
            <w:tcW w:type="dxa" w:w="18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  <w:tc>
          <w:tcPr>
            <w:tcW w:type="dxa" w:w="186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/>
    <w:p>
      <w:pPr>
        <w:pStyle w:val="Heading1"/>
        <w:keepNext/>
      </w:pPr>
      <w:r>
        <w:t>Table S14. Module score slopes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4962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Cohort</w:t>
            </w:r>
          </w:p>
        </w:tc>
        <w:tc>
          <w:tcPr>
            <w:tcW w:type="dxa" w:w="220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Genes</w:t>
            </w:r>
          </w:p>
        </w:tc>
        <w:tc>
          <w:tcPr>
            <w:tcW w:type="dxa" w:w="248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slope</w:t>
            </w:r>
          </w:p>
        </w:tc>
      </w:tr>
      <w:tr>
        <w:trPr>
          <w:cantSplit/>
        </w:trPr>
        <w:tc>
          <w:tcPr>
            <w:tcW w:type="dxa" w:w="4962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GSE70362_AF_I_IV</w:t>
            </w:r>
          </w:p>
        </w:tc>
        <w:tc>
          <w:tcPr>
            <w:tcW w:type="dxa" w:w="2205"/>
            <w:vAlign w:val="cente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481"/>
            <w:vAlign w:val="center"/>
          </w:tcPr>
          <w:p>
            <w:pPr>
              <w:jc w:val="center"/>
            </w:pPr>
            <w:r>
              <w:rPr>
                <w:sz w:val="18"/>
              </w:rPr>
              <w:t>-0.0185</w:t>
            </w:r>
          </w:p>
        </w:tc>
      </w:tr>
      <w:tr>
        <w:trPr>
          <w:cantSplit/>
        </w:trPr>
        <w:tc>
          <w:tcPr>
            <w:tcW w:type="dxa" w:w="4962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GSE23130_LCM_all</w:t>
            </w:r>
          </w:p>
        </w:tc>
        <w:tc>
          <w:tcPr>
            <w:tcW w:type="dxa" w:w="220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48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+0.1729</w:t>
            </w:r>
          </w:p>
        </w:tc>
      </w:tr>
    </w:tbl>
    <w:p/>
    <w:p>
      <w:pPr>
        <w:pStyle w:val="Heading1"/>
        <w:keepNext/>
      </w:pPr>
      <w:r>
        <w:t>Table S15. Permutation-method sensitivity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4135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75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GSE70362 p</w:t>
            </w:r>
          </w:p>
        </w:tc>
        <w:tc>
          <w:tcPr>
            <w:tcW w:type="dxa" w:w="275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GSE23130 p</w:t>
            </w:r>
          </w:p>
        </w:tc>
      </w:tr>
      <w:tr>
        <w:trPr>
          <w:cantSplit/>
        </w:trPr>
        <w:tc>
          <w:tcPr>
            <w:tcW w:type="dxa" w:w="4135"/>
            <w:vAlign w:val="center"/>
          </w:tcPr>
          <w:p>
            <w:pPr>
              <w:jc w:val="left"/>
            </w:pPr>
            <w:r>
              <w:rPr>
                <w:sz w:val="18"/>
              </w:rPr>
              <w:t>stratified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0.7500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0.1000</w:t>
            </w:r>
          </w:p>
        </w:tc>
      </w:tr>
      <w:tr>
        <w:trPr>
          <w:cantSplit/>
        </w:trPr>
        <w:tc>
          <w:tcPr>
            <w:tcW w:type="dxa" w:w="4135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freedman_lane</w:t>
            </w:r>
          </w:p>
        </w:tc>
        <w:tc>
          <w:tcPr>
            <w:tcW w:type="dxa" w:w="27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0.3700</w:t>
            </w:r>
          </w:p>
        </w:tc>
        <w:tc>
          <w:tcPr>
            <w:tcW w:type="dxa" w:w="27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0.0700</w:t>
            </w:r>
          </w:p>
        </w:tc>
      </w:tr>
      <w:tr>
        <w:trPr>
          <w:cantSplit/>
        </w:trPr>
        <w:tc>
          <w:tcPr>
            <w:tcW w:type="dxa" w:w="4135"/>
            <w:vAlign w:val="center"/>
          </w:tcPr>
          <w:p>
            <w:pPr>
              <w:jc w:val="left"/>
            </w:pPr>
            <w:r>
              <w:rPr>
                <w:sz w:val="18"/>
              </w:rPr>
              <w:t>rotation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0.6600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0.0100</w:t>
            </w:r>
          </w:p>
        </w:tc>
      </w:tr>
    </w:tbl>
    <w:p/>
    <w:p>
      <w:pPr>
        <w:pStyle w:val="Heading1"/>
        <w:keepNext/>
      </w:pPr>
      <w:r>
        <w:t>Table S16. Exact-contrast cohort pairs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316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241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Genes</w:t>
            </w:r>
          </w:p>
        </w:tc>
        <w:tc>
          <w:tcPr>
            <w:tcW w:type="dxa" w:w="3919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Concordance</w:t>
            </w:r>
          </w:p>
        </w:tc>
      </w:tr>
      <w:tr>
        <w:trPr>
          <w:cantSplit/>
        </w:trPr>
        <w:tc>
          <w:tcPr>
            <w:tcW w:type="dxa" w:w="3316"/>
            <w:vAlign w:val="center"/>
          </w:tcPr>
          <w:p>
            <w:pPr>
              <w:jc w:val="left"/>
            </w:pPr>
            <w:r>
              <w:rPr>
                <w:sz w:val="18"/>
              </w:rPr>
              <w:t>GSE186542 vs GSE167199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sz w:val="18"/>
              </w:rPr>
              <w:t>13441</w:t>
            </w:r>
          </w:p>
        </w:tc>
        <w:tc>
          <w:tcPr>
            <w:tcW w:type="dxa" w:w="3919"/>
            <w:vAlign w:val="center"/>
          </w:tcPr>
          <w:p>
            <w:pPr>
              <w:jc w:val="center"/>
            </w:pPr>
            <w:r>
              <w:rPr>
                <w:sz w:val="18"/>
              </w:rPr>
              <w:t>58.6%</w:t>
            </w:r>
          </w:p>
        </w:tc>
      </w:tr>
    </w:tbl>
    <w:p/>
    <w:p>
      <w:pPr>
        <w:pStyle w:val="Heading1"/>
        <w:keepNext/>
      </w:pPr>
      <w:r>
        <w:t>Table S17. Compartment-matched cohort pairs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316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2412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Genes</w:t>
            </w:r>
          </w:p>
        </w:tc>
        <w:tc>
          <w:tcPr>
            <w:tcW w:type="dxa" w:w="3919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Concordance</w:t>
            </w:r>
          </w:p>
        </w:tc>
      </w:tr>
      <w:tr>
        <w:trPr>
          <w:cantSplit/>
        </w:trPr>
        <w:tc>
          <w:tcPr>
            <w:tcW w:type="dxa" w:w="3316"/>
            <w:vAlign w:val="center"/>
          </w:tcPr>
          <w:p>
            <w:pPr>
              <w:jc w:val="left"/>
            </w:pPr>
            <w:r>
              <w:rPr>
                <w:sz w:val="18"/>
              </w:rPr>
              <w:t>GSE70362 vs GSE23130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sz w:val="18"/>
              </w:rPr>
              <w:t>14004</w:t>
            </w:r>
          </w:p>
        </w:tc>
        <w:tc>
          <w:tcPr>
            <w:tcW w:type="dxa" w:w="3919"/>
            <w:vAlign w:val="center"/>
          </w:tcPr>
          <w:p>
            <w:pPr>
              <w:jc w:val="center"/>
            </w:pPr>
            <w:r>
              <w:rPr>
                <w:sz w:val="18"/>
              </w:rPr>
              <w:t>51.4%</w:t>
            </w:r>
          </w:p>
        </w:tc>
      </w:tr>
      <w:tr>
        <w:trPr>
          <w:cantSplit/>
        </w:trPr>
        <w:tc>
          <w:tcPr>
            <w:tcW w:type="dxa" w:w="331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GSE186542 vs GSE207176</w:t>
            </w:r>
          </w:p>
        </w:tc>
        <w:tc>
          <w:tcPr>
            <w:tcW w:type="dxa" w:w="2412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13563</w:t>
            </w:r>
          </w:p>
        </w:tc>
        <w:tc>
          <w:tcPr>
            <w:tcW w:type="dxa" w:w="391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42.5%</w:t>
            </w:r>
          </w:p>
        </w:tc>
      </w:tr>
      <w:tr>
        <w:trPr>
          <w:cantSplit/>
        </w:trPr>
        <w:tc>
          <w:tcPr>
            <w:tcW w:type="dxa" w:w="3316"/>
            <w:vAlign w:val="center"/>
          </w:tcPr>
          <w:p>
            <w:pPr>
              <w:jc w:val="left"/>
            </w:pPr>
            <w:r>
              <w:rPr>
                <w:sz w:val="18"/>
              </w:rPr>
              <w:t>GSE167199 vs GSE207176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sz w:val="18"/>
              </w:rPr>
              <w:t>13827</w:t>
            </w:r>
          </w:p>
        </w:tc>
        <w:tc>
          <w:tcPr>
            <w:tcW w:type="dxa" w:w="3919"/>
            <w:vAlign w:val="center"/>
          </w:tcPr>
          <w:p>
            <w:pPr>
              <w:jc w:val="center"/>
            </w:pPr>
            <w:r>
              <w:rPr>
                <w:sz w:val="18"/>
              </w:rPr>
              <w:t>38.7%</w:t>
            </w:r>
          </w:p>
        </w:tc>
      </w:tr>
    </w:tbl>
    <w:p/>
    <w:p>
      <w:pPr>
        <w:pStyle w:val="Heading1"/>
        <w:keepNext/>
      </w:pPr>
      <w:r>
        <w:t>Table S18. GSE176205 NP directional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  <w:tblHeader w:val="true"/>
        </w:trPr>
        <w:tc>
          <w:tcPr>
            <w:tcW w:type="dxa" w:w="2361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82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Genes</w:t>
            </w:r>
          </w:p>
        </w:tc>
        <w:tc>
          <w:tcPr>
            <w:tcW w:type="dxa" w:w="1129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GSE176205 up</w:t>
            </w:r>
          </w:p>
        </w:tc>
        <w:tc>
          <w:tcPr>
            <w:tcW w:type="dxa" w:w="1129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GSE176205 median</w:t>
            </w:r>
          </w:p>
        </w:tc>
        <w:tc>
          <w:tcPr>
            <w:tcW w:type="dxa" w:w="102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GSE70362 NP up</w:t>
            </w:r>
          </w:p>
        </w:tc>
        <w:tc>
          <w:tcPr>
            <w:tcW w:type="dxa" w:w="102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GSE70362 median</w:t>
            </w:r>
          </w:p>
        </w:tc>
        <w:tc>
          <w:tcPr>
            <w:tcW w:type="dxa" w:w="1334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Concordance</w:t>
            </w:r>
          </w:p>
        </w:tc>
        <w:tc>
          <w:tcPr>
            <w:tcW w:type="dxa" w:w="82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Effect rho</w:t>
            </w:r>
          </w:p>
        </w:tc>
      </w:tr>
      <w:tr>
        <w:trPr>
          <w:cantSplit/>
        </w:trPr>
        <w:tc>
          <w:tcPr>
            <w:tcW w:type="dxa" w:w="2361"/>
            <w:vAlign w:val="center"/>
          </w:tcPr>
          <w:p>
            <w:pPr>
              <w:jc w:val="left"/>
            </w:pPr>
            <w:r>
              <w:rPr>
                <w:sz w:val="14"/>
              </w:rPr>
              <w:t>Inflammation/cytokine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44.4%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-0.222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60.0%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+0.010</w:t>
            </w:r>
          </w:p>
        </w:tc>
        <w:tc>
          <w:tcPr>
            <w:tcW w:type="dxa" w:w="1334"/>
            <w:vAlign w:val="center"/>
          </w:tcPr>
          <w:p>
            <w:pPr>
              <w:jc w:val="center"/>
            </w:pPr>
            <w:r>
              <w:rPr>
                <w:sz w:val="14"/>
              </w:rPr>
              <w:t>59.3%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+0.031</w:t>
            </w:r>
          </w:p>
        </w:tc>
      </w:tr>
      <w:tr>
        <w:trPr>
          <w:cantSplit/>
        </w:trPr>
        <w:tc>
          <w:tcPr>
            <w:tcW w:type="dxa" w:w="2361"/>
            <w:vAlign w:val="center"/>
            <w:shd w:fill="F2F4F7"/>
          </w:tcPr>
          <w:p>
            <w:pPr>
              <w:jc w:val="left"/>
            </w:pPr>
            <w:r>
              <w:rPr>
                <w:sz w:val="14"/>
              </w:rPr>
              <w:t>Angiogenesis/vascular</w:t>
            </w:r>
          </w:p>
        </w:tc>
        <w:tc>
          <w:tcPr>
            <w:tcW w:type="dxa" w:w="821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129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41.2%</w:t>
            </w:r>
          </w:p>
        </w:tc>
        <w:tc>
          <w:tcPr>
            <w:tcW w:type="dxa" w:w="1129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-0.424</w:t>
            </w:r>
          </w:p>
        </w:tc>
        <w:tc>
          <w:tcPr>
            <w:tcW w:type="dxa" w:w="1026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72.2%</w:t>
            </w:r>
          </w:p>
        </w:tc>
        <w:tc>
          <w:tcPr>
            <w:tcW w:type="dxa" w:w="1026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+0.036</w:t>
            </w:r>
          </w:p>
        </w:tc>
        <w:tc>
          <w:tcPr>
            <w:tcW w:type="dxa" w:w="1334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58.8%</w:t>
            </w:r>
          </w:p>
        </w:tc>
        <w:tc>
          <w:tcPr>
            <w:tcW w:type="dxa" w:w="821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-0.029</w:t>
            </w:r>
          </w:p>
        </w:tc>
      </w:tr>
      <w:tr>
        <w:trPr>
          <w:cantSplit/>
        </w:trPr>
        <w:tc>
          <w:tcPr>
            <w:tcW w:type="dxa" w:w="2361"/>
            <w:vAlign w:val="center"/>
          </w:tcPr>
          <w:p>
            <w:pPr>
              <w:jc w:val="left"/>
            </w:pPr>
            <w:r>
              <w:rPr>
                <w:sz w:val="14"/>
              </w:rPr>
              <w:t>Macrophage/myeloid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50.0%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+0.066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68.4%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+0.016</w:t>
            </w:r>
          </w:p>
        </w:tc>
        <w:tc>
          <w:tcPr>
            <w:tcW w:type="dxa" w:w="1334"/>
            <w:vAlign w:val="center"/>
          </w:tcPr>
          <w:p>
            <w:pPr>
              <w:jc w:val="center"/>
            </w:pPr>
            <w:r>
              <w:rPr>
                <w:sz w:val="14"/>
              </w:rPr>
              <w:t>55.6%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+0.480</w:t>
            </w:r>
          </w:p>
        </w:tc>
      </w:tr>
      <w:tr>
        <w:trPr>
          <w:cantSplit/>
        </w:trPr>
        <w:tc>
          <w:tcPr>
            <w:tcW w:type="dxa" w:w="2361"/>
            <w:vAlign w:val="center"/>
            <w:shd w:fill="F2F4F7"/>
          </w:tcPr>
          <w:p>
            <w:pPr>
              <w:jc w:val="left"/>
            </w:pPr>
            <w:r>
              <w:rPr>
                <w:sz w:val="14"/>
              </w:rPr>
              <w:t>Immune activation</w:t>
            </w:r>
          </w:p>
        </w:tc>
        <w:tc>
          <w:tcPr>
            <w:tcW w:type="dxa" w:w="821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129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43.3%</w:t>
            </w:r>
          </w:p>
        </w:tc>
        <w:tc>
          <w:tcPr>
            <w:tcW w:type="dxa" w:w="1129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-0.058</w:t>
            </w:r>
          </w:p>
        </w:tc>
        <w:tc>
          <w:tcPr>
            <w:tcW w:type="dxa" w:w="1026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51.6%</w:t>
            </w:r>
          </w:p>
        </w:tc>
        <w:tc>
          <w:tcPr>
            <w:tcW w:type="dxa" w:w="1026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+0.004</w:t>
            </w:r>
          </w:p>
        </w:tc>
        <w:tc>
          <w:tcPr>
            <w:tcW w:type="dxa" w:w="1334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53.3%</w:t>
            </w:r>
          </w:p>
        </w:tc>
        <w:tc>
          <w:tcPr>
            <w:tcW w:type="dxa" w:w="821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+0.058</w:t>
            </w:r>
          </w:p>
        </w:tc>
      </w:tr>
      <w:tr>
        <w:trPr>
          <w:cantSplit/>
        </w:trPr>
        <w:tc>
          <w:tcPr>
            <w:tcW w:type="dxa" w:w="2361"/>
            <w:vAlign w:val="center"/>
          </w:tcPr>
          <w:p>
            <w:pPr>
              <w:jc w:val="left"/>
            </w:pPr>
            <w:r>
              <w:rPr>
                <w:sz w:val="14"/>
              </w:rPr>
              <w:t>ECM remodelling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16.7%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-0.557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56.7%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+0.007</w:t>
            </w:r>
          </w:p>
        </w:tc>
        <w:tc>
          <w:tcPr>
            <w:tcW w:type="dxa" w:w="1334"/>
            <w:vAlign w:val="center"/>
          </w:tcPr>
          <w:p>
            <w:pPr>
              <w:jc w:val="center"/>
            </w:pPr>
            <w:r>
              <w:rPr>
                <w:sz w:val="14"/>
              </w:rPr>
              <w:t>44.8%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+0.231</w:t>
            </w:r>
          </w:p>
        </w:tc>
      </w:tr>
      <w:tr>
        <w:trPr>
          <w:cantSplit/>
        </w:trPr>
        <w:tc>
          <w:tcPr>
            <w:tcW w:type="dxa" w:w="2361"/>
            <w:vAlign w:val="center"/>
            <w:shd w:fill="F2F4F7"/>
          </w:tcPr>
          <w:p>
            <w:pPr>
              <w:jc w:val="left"/>
            </w:pPr>
            <w:r>
              <w:rPr>
                <w:sz w:val="14"/>
              </w:rPr>
              <w:t>Apoptosis/autophagy</w:t>
            </w:r>
          </w:p>
        </w:tc>
        <w:tc>
          <w:tcPr>
            <w:tcW w:type="dxa" w:w="821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129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34.6%</w:t>
            </w:r>
          </w:p>
        </w:tc>
        <w:tc>
          <w:tcPr>
            <w:tcW w:type="dxa" w:w="1129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-0.392</w:t>
            </w:r>
          </w:p>
        </w:tc>
        <w:tc>
          <w:tcPr>
            <w:tcW w:type="dxa" w:w="1026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50.0%</w:t>
            </w:r>
          </w:p>
        </w:tc>
        <w:tc>
          <w:tcPr>
            <w:tcW w:type="dxa" w:w="1026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+0.005</w:t>
            </w:r>
          </w:p>
        </w:tc>
        <w:tc>
          <w:tcPr>
            <w:tcW w:type="dxa" w:w="1334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38.5%</w:t>
            </w:r>
          </w:p>
        </w:tc>
        <w:tc>
          <w:tcPr>
            <w:tcW w:type="dxa" w:w="821"/>
            <w:vAlign w:val="center"/>
            <w:shd w:fill="F2F4F7"/>
          </w:tcPr>
          <w:p>
            <w:pPr>
              <w:jc w:val="center"/>
            </w:pPr>
            <w:r>
              <w:rPr>
                <w:sz w:val="14"/>
              </w:rPr>
              <w:t>-0.117</w:t>
            </w:r>
          </w:p>
        </w:tc>
      </w:tr>
      <w:tr>
        <w:trPr>
          <w:cantSplit/>
        </w:trPr>
        <w:tc>
          <w:tcPr>
            <w:tcW w:type="dxa" w:w="2361"/>
            <w:vAlign w:val="center"/>
          </w:tcPr>
          <w:p>
            <w:pPr>
              <w:jc w:val="left"/>
            </w:pPr>
            <w:r>
              <w:rPr>
                <w:sz w:val="14"/>
              </w:rPr>
              <w:t>Adhesion/cytoskeleton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58.3%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>
              <w:rPr>
                <w:sz w:val="14"/>
              </w:rPr>
              <w:t>+0.265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39.1%</w:t>
            </w:r>
          </w:p>
        </w:tc>
        <w:tc>
          <w:tcPr>
            <w:tcW w:type="dxa" w:w="1026"/>
            <w:vAlign w:val="center"/>
          </w:tcPr>
          <w:p>
            <w:pPr>
              <w:jc w:val="center"/>
            </w:pPr>
            <w:r>
              <w:rPr>
                <w:sz w:val="14"/>
              </w:rPr>
              <w:t>-0.016</w:t>
            </w:r>
          </w:p>
        </w:tc>
        <w:tc>
          <w:tcPr>
            <w:tcW w:type="dxa" w:w="1334"/>
            <w:vAlign w:val="center"/>
          </w:tcPr>
          <w:p>
            <w:pPr>
              <w:jc w:val="center"/>
            </w:pPr>
            <w:r>
              <w:rPr>
                <w:sz w:val="14"/>
              </w:rPr>
              <w:t>34.8%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sz w:val="14"/>
              </w:rPr>
              <w:t>-0.139</w:t>
            </w:r>
          </w:p>
        </w:tc>
      </w:tr>
    </w:tbl>
    <w:p/>
    <w:p>
      <w:pPr>
        <w:pStyle w:val="Heading1"/>
        <w:keepNext/>
      </w:pPr>
      <w:r>
        <w:t>Table S19. GSE17077 paired senescence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3170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10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Genes</w:t>
            </w:r>
          </w:p>
        </w:tc>
        <w:tc>
          <w:tcPr>
            <w:tcW w:type="dxa" w:w="151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Senescent up</w:t>
            </w:r>
          </w:p>
        </w:tc>
        <w:tc>
          <w:tcPr>
            <w:tcW w:type="dxa" w:w="110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Median effect</w:t>
            </w:r>
          </w:p>
        </w:tc>
        <w:tc>
          <w:tcPr>
            <w:tcW w:type="dxa" w:w="275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One-sided p</w:t>
            </w:r>
          </w:p>
        </w:tc>
      </w:tr>
      <w:tr>
        <w:trPr>
          <w:cantSplit/>
        </w:trPr>
        <w:tc>
          <w:tcPr>
            <w:tcW w:type="dxa" w:w="3170"/>
            <w:vAlign w:val="center"/>
          </w:tcPr>
          <w:p>
            <w:pPr>
              <w:jc w:val="left"/>
            </w:pPr>
            <w:r>
              <w:rPr>
                <w:sz w:val="18"/>
              </w:rPr>
              <w:t>Angiogenesis/vascular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516"/>
            <w:vAlign w:val="center"/>
          </w:tcPr>
          <w:p>
            <w:pPr>
              <w:jc w:val="center"/>
            </w:pPr>
            <w:r>
              <w:rPr>
                <w:sz w:val="18"/>
              </w:rPr>
              <w:t>44.4%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-0.022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0.7596588134765634</w:t>
            </w:r>
          </w:p>
        </w:tc>
      </w:tr>
      <w:tr>
        <w:trPr>
          <w:cantSplit/>
        </w:trPr>
        <w:tc>
          <w:tcPr>
            <w:tcW w:type="dxa" w:w="317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Adhesion/cytoskeleton</w:t>
            </w:r>
          </w:p>
        </w:tc>
        <w:tc>
          <w:tcPr>
            <w:tcW w:type="dxa" w:w="110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51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41.7%</w:t>
            </w:r>
          </w:p>
        </w:tc>
        <w:tc>
          <w:tcPr>
            <w:tcW w:type="dxa" w:w="110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-0.008</w:t>
            </w:r>
          </w:p>
        </w:tc>
        <w:tc>
          <w:tcPr>
            <w:tcW w:type="dxa" w:w="27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0.8462718725204479</w:t>
            </w:r>
          </w:p>
        </w:tc>
      </w:tr>
      <w:tr>
        <w:trPr>
          <w:cantSplit/>
        </w:trPr>
        <w:tc>
          <w:tcPr>
            <w:tcW w:type="dxa" w:w="3170"/>
            <w:vAlign w:val="center"/>
          </w:tcPr>
          <w:p>
            <w:pPr>
              <w:jc w:val="left"/>
            </w:pPr>
            <w:r>
              <w:rPr>
                <w:sz w:val="18"/>
              </w:rPr>
              <w:t>Immune activation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516"/>
            <w:vAlign w:val="center"/>
          </w:tcPr>
          <w:p>
            <w:pPr>
              <w:jc w:val="center"/>
            </w:pPr>
            <w:r>
              <w:rPr>
                <w:sz w:val="18"/>
              </w:rPr>
              <w:t>41.9%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-0.006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0.8594792424701133</w:t>
            </w:r>
          </w:p>
        </w:tc>
      </w:tr>
      <w:tr>
        <w:trPr>
          <w:cantSplit/>
        </w:trPr>
        <w:tc>
          <w:tcPr>
            <w:tcW w:type="dxa" w:w="317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ECM remodelling</w:t>
            </w:r>
          </w:p>
        </w:tc>
        <w:tc>
          <w:tcPr>
            <w:tcW w:type="dxa" w:w="110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51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41.9%</w:t>
            </w:r>
          </w:p>
        </w:tc>
        <w:tc>
          <w:tcPr>
            <w:tcW w:type="dxa" w:w="110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-0.017</w:t>
            </w:r>
          </w:p>
        </w:tc>
        <w:tc>
          <w:tcPr>
            <w:tcW w:type="dxa" w:w="27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0.8594792424701133</w:t>
            </w:r>
          </w:p>
        </w:tc>
      </w:tr>
      <w:tr>
        <w:trPr>
          <w:cantSplit/>
        </w:trPr>
        <w:tc>
          <w:tcPr>
            <w:tcW w:type="dxa" w:w="3170"/>
            <w:vAlign w:val="center"/>
          </w:tcPr>
          <w:p>
            <w:pPr>
              <w:jc w:val="left"/>
            </w:pPr>
            <w:r>
              <w:rPr>
                <w:sz w:val="18"/>
              </w:rPr>
              <w:t>Apoptosis/autophagy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516"/>
            <w:vAlign w:val="center"/>
          </w:tcPr>
          <w:p>
            <w:pPr>
              <w:jc w:val="center"/>
            </w:pPr>
            <w:r>
              <w:rPr>
                <w:sz w:val="18"/>
              </w:rPr>
              <w:t>40.0%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-0.023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0.8852385282516482</w:t>
            </w:r>
          </w:p>
        </w:tc>
      </w:tr>
      <w:tr>
        <w:trPr>
          <w:cantSplit/>
        </w:trPr>
        <w:tc>
          <w:tcPr>
            <w:tcW w:type="dxa" w:w="317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Inflammation/cytokine</w:t>
            </w:r>
          </w:p>
        </w:tc>
        <w:tc>
          <w:tcPr>
            <w:tcW w:type="dxa" w:w="110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51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40.0%</w:t>
            </w:r>
          </w:p>
        </w:tc>
        <w:tc>
          <w:tcPr>
            <w:tcW w:type="dxa" w:w="110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-0.010</w:t>
            </w:r>
          </w:p>
        </w:tc>
        <w:tc>
          <w:tcPr>
            <w:tcW w:type="dxa" w:w="27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0.8997557889670215</w:t>
            </w:r>
          </w:p>
        </w:tc>
      </w:tr>
      <w:tr>
        <w:trPr>
          <w:cantSplit/>
        </w:trPr>
        <w:tc>
          <w:tcPr>
            <w:tcW w:type="dxa" w:w="3170"/>
            <w:vAlign w:val="center"/>
          </w:tcPr>
          <w:p>
            <w:pPr>
              <w:jc w:val="left"/>
            </w:pPr>
            <w:r>
              <w:rPr>
                <w:sz w:val="18"/>
              </w:rPr>
              <w:t>Macrophage/myeloid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516"/>
            <w:vAlign w:val="center"/>
          </w:tcPr>
          <w:p>
            <w:pPr>
              <w:jc w:val="center"/>
            </w:pPr>
            <w:r>
              <w:rPr>
                <w:sz w:val="18"/>
              </w:rPr>
              <w:t>35.0%</w:t>
            </w:r>
          </w:p>
        </w:tc>
        <w:tc>
          <w:tcPr>
            <w:tcW w:type="dxa" w:w="1103"/>
            <w:vAlign w:val="center"/>
          </w:tcPr>
          <w:p>
            <w:pPr>
              <w:jc w:val="center"/>
            </w:pPr>
            <w:r>
              <w:rPr>
                <w:sz w:val="18"/>
              </w:rPr>
              <w:t>-0.008</w:t>
            </w:r>
          </w:p>
        </w:tc>
        <w:tc>
          <w:tcPr>
            <w:tcW w:type="dxa" w:w="2757"/>
            <w:vAlign w:val="center"/>
          </w:tcPr>
          <w:p>
            <w:pPr>
              <w:jc w:val="center"/>
            </w:pPr>
            <w:r>
              <w:rPr>
                <w:sz w:val="18"/>
              </w:rPr>
              <w:t>0.9423408508300802</w:t>
            </w:r>
          </w:p>
        </w:tc>
      </w:tr>
    </w:tbl>
    <w:p/>
    <w:p>
      <w:pPr>
        <w:pStyle w:val="Heading1"/>
        <w:keepNext/>
      </w:pPr>
      <w:r>
        <w:t>Table S20. Third-cohort registry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 w:val="true"/>
        </w:trPr>
        <w:tc>
          <w:tcPr>
            <w:tcW w:type="dxa" w:w="5263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4385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Datasets</w:t>
            </w:r>
          </w:p>
        </w:tc>
      </w:tr>
      <w:tr>
        <w:trPr>
          <w:cantSplit/>
        </w:trPr>
        <w:tc>
          <w:tcPr>
            <w:tcW w:type="dxa" w:w="5263"/>
            <w:vAlign w:val="center"/>
          </w:tcPr>
          <w:p>
            <w:pPr>
              <w:jc w:val="left"/>
            </w:pPr>
            <w:r>
              <w:rPr>
                <w:sz w:val="18"/>
              </w:rPr>
              <w:t>B</w:t>
            </w:r>
          </w:p>
        </w:tc>
        <w:tc>
          <w:tcPr>
            <w:tcW w:type="dxa" w:w="4385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263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C</w:t>
            </w:r>
          </w:p>
        </w:tc>
        <w:tc>
          <w:tcPr>
            <w:tcW w:type="dxa" w:w="438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5263"/>
            <w:vAlign w:val="center"/>
          </w:tcPr>
          <w:p>
            <w:pPr>
              <w:jc w:val="left"/>
            </w:pPr>
            <w:r>
              <w:rPr>
                <w:sz w:val="18"/>
              </w:rPr>
              <w:t>core</w:t>
            </w:r>
          </w:p>
        </w:tc>
        <w:tc>
          <w:tcPr>
            <w:tcW w:type="dxa" w:w="4385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263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exclude</w:t>
            </w:r>
          </w:p>
        </w:tc>
        <w:tc>
          <w:tcPr>
            <w:tcW w:type="dxa" w:w="4385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5263"/>
            <w:vAlign w:val="center"/>
          </w:tcPr>
          <w:p>
            <w:pPr>
              <w:jc w:val="left"/>
            </w:pPr>
            <w:r>
              <w:rPr>
                <w:sz w:val="18"/>
              </w:rPr>
              <w:t>unverified</w:t>
            </w:r>
          </w:p>
        </w:tc>
        <w:tc>
          <w:tcPr>
            <w:tcW w:type="dxa" w:w="4385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/>
    <w:p>
      <w:pPr>
        <w:pStyle w:val="Heading1"/>
        <w:keepNext/>
      </w:pPr>
      <w:r>
        <w:t>Table S21. Literature scoping audit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 w:val="true"/>
        </w:trPr>
        <w:tc>
          <w:tcPr>
            <w:tcW w:type="dxa" w:w="5628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Scoping metric</w:t>
            </w:r>
          </w:p>
        </w:tc>
        <w:tc>
          <w:tcPr>
            <w:tcW w:type="dxa" w:w="4020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Articles</w:t>
            </w:r>
          </w:p>
        </w:tc>
      </w:tr>
      <w:tr>
        <w:trPr>
          <w:cantSplit/>
        </w:trPr>
        <w:tc>
          <w:tcPr>
            <w:tcW w:type="dxa" w:w="5628"/>
            <w:vAlign w:val="center"/>
          </w:tcPr>
          <w:p>
            <w:pPr>
              <w:jc w:val="left"/>
            </w:pPr>
            <w:r>
              <w:rPr>
                <w:sz w:val="18"/>
              </w:rPr>
              <w:t>Open-access articles in scoping corpus</w:t>
            </w:r>
          </w:p>
        </w:tc>
        <w:tc>
          <w:tcPr>
            <w:tcW w:type="dxa" w:w="4020"/>
            <w:vAlign w:val="center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rPr>
          <w:cantSplit/>
        </w:trPr>
        <w:tc>
          <w:tcPr>
            <w:tcW w:type="dxa" w:w="5628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Articles using more than one GSE</w:t>
            </w:r>
          </w:p>
        </w:tc>
        <w:tc>
          <w:tcPr>
            <w:tcW w:type="dxa" w:w="402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5628"/>
            <w:vAlign w:val="center"/>
          </w:tcPr>
          <w:p>
            <w:pPr>
              <w:jc w:val="left"/>
            </w:pPr>
            <w:r>
              <w:rPr>
                <w:sz w:val="18"/>
              </w:rPr>
              <w:t>Articles with consistency language</w:t>
            </w:r>
          </w:p>
        </w:tc>
        <w:tc>
          <w:tcPr>
            <w:tcW w:type="dxa" w:w="4020"/>
            <w:vAlign w:val="center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5628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Multi-cohort articles with consistency language</w:t>
            </w:r>
          </w:p>
        </w:tc>
        <w:tc>
          <w:tcPr>
            <w:tcW w:type="dxa" w:w="402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5628"/>
            <w:vAlign w:val="center"/>
          </w:tcPr>
          <w:p>
            <w:pPr>
              <w:jc w:val="left"/>
            </w:pPr>
            <w:r>
              <w:rPr>
                <w:sz w:val="18"/>
              </w:rPr>
              <w:t>Articles describing gene-level concordance</w:t>
            </w:r>
          </w:p>
        </w:tc>
        <w:tc>
          <w:tcPr>
            <w:tcW w:type="dxa" w:w="4020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628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Articles mentioning permutation</w:t>
            </w:r>
          </w:p>
        </w:tc>
        <w:tc>
          <w:tcPr>
            <w:tcW w:type="dxa" w:w="402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5628"/>
            <w:vAlign w:val="center"/>
          </w:tcPr>
          <w:p>
            <w:pPr>
              <w:jc w:val="left"/>
            </w:pPr>
            <w:r>
              <w:rPr>
                <w:sz w:val="18"/>
              </w:rPr>
              <w:t>Articles mentioning FDR</w:t>
            </w:r>
          </w:p>
        </w:tc>
        <w:tc>
          <w:tcPr>
            <w:tcW w:type="dxa" w:w="4020"/>
            <w:vAlign w:val="center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5628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Articles mentioning power</w:t>
            </w:r>
          </w:p>
        </w:tc>
        <w:tc>
          <w:tcPr>
            <w:tcW w:type="dxa" w:w="4020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</w:tr>
    </w:tbl>
    <w:p/>
    <w:p>
      <w:pPr>
        <w:pStyle w:val="Heading1"/>
        <w:keepNext/>
      </w:pPr>
      <w:r>
        <w:t>Table S22. Reproduced blood cohorts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423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Cohort</w:t>
            </w:r>
          </w:p>
        </w:tc>
        <w:tc>
          <w:tcPr>
            <w:tcW w:type="dxa" w:w="342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</w:t>
            </w:r>
          </w:p>
        </w:tc>
        <w:tc>
          <w:tcPr>
            <w:tcW w:type="dxa" w:w="280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Samples</w:t>
            </w:r>
          </w:p>
        </w:tc>
      </w:tr>
      <w:tr>
        <w:trPr>
          <w:cantSplit/>
        </w:trPr>
        <w:tc>
          <w:tcPr>
            <w:tcW w:type="dxa" w:w="3423"/>
            <w:vAlign w:val="center"/>
          </w:tcPr>
          <w:p>
            <w:pPr>
              <w:jc w:val="left"/>
            </w:pPr>
            <w:r>
              <w:rPr>
                <w:sz w:val="18"/>
              </w:rPr>
              <w:t>GSE124272</w:t>
            </w:r>
          </w:p>
        </w:tc>
        <w:tc>
          <w:tcPr>
            <w:tcW w:type="dxa" w:w="3423"/>
            <w:vAlign w:val="center"/>
          </w:tcPr>
          <w:p>
            <w:pPr>
              <w:jc w:val="center"/>
            </w:pPr>
            <w:r>
              <w:rPr>
                <w:sz w:val="18"/>
              </w:rPr>
              <w:t>8 LDH vs 8 healthy</w:t>
            </w:r>
          </w:p>
        </w:tc>
        <w:tc>
          <w:tcPr>
            <w:tcW w:type="dxa" w:w="2801"/>
            <w:vAlign w:val="cente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423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GSE150408</w:t>
            </w:r>
          </w:p>
        </w:tc>
        <w:tc>
          <w:tcPr>
            <w:tcW w:type="dxa" w:w="342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42 IDD vs 17 healthy; 25 treatment</w:t>
            </w:r>
          </w:p>
        </w:tc>
        <w:tc>
          <w:tcPr>
            <w:tcW w:type="dxa" w:w="280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3423"/>
            <w:vAlign w:val="center"/>
          </w:tcPr>
          <w:p>
            <w:pPr>
              <w:jc w:val="left"/>
            </w:pPr>
            <w:r>
              <w:rPr>
                <w:sz w:val="18"/>
              </w:rPr>
              <w:t>GSE150408 untreated</w:t>
            </w:r>
          </w:p>
        </w:tc>
        <w:tc>
          <w:tcPr>
            <w:tcW w:type="dxa" w:w="3423"/>
            <w:vAlign w:val="center"/>
          </w:tcPr>
          <w:p>
            <w:pPr>
              <w:jc w:val="center"/>
            </w:pPr>
            <w:r>
              <w:rPr>
                <w:sz w:val="18"/>
              </w:rPr>
              <w:t>17 untreated IDD vs 17 healthy</w:t>
            </w:r>
          </w:p>
        </w:tc>
        <w:tc>
          <w:tcPr>
            <w:tcW w:type="dxa" w:w="2801"/>
            <w:vAlign w:val="center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</w:tr>
    </w:tbl>
    <w:p/>
    <w:p>
      <w:pPr>
        <w:pStyle w:val="Heading1"/>
        <w:keepNext/>
      </w:pPr>
      <w:r>
        <w:t>Table S23. Probe-to-symbol collapsing sensitivity</w:t>
      </w:r>
    </w:p>
    <w:p>
      <w:r>
        <w:t>These rows are consolidated into main-text Table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2078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Collapse rule</w:t>
            </w:r>
          </w:p>
        </w:tc>
        <w:tc>
          <w:tcPr>
            <w:tcW w:type="dxa" w:w="1484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GSE70362 ECM up</w:t>
            </w:r>
          </w:p>
        </w:tc>
        <w:tc>
          <w:tcPr>
            <w:tcW w:type="dxa" w:w="222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GSE23130 ECM up</w:t>
            </w:r>
          </w:p>
        </w:tc>
        <w:tc>
          <w:tcPr>
            <w:tcW w:type="dxa" w:w="2226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ECM concordance</w:t>
            </w:r>
          </w:p>
        </w:tc>
        <w:tc>
          <w:tcPr>
            <w:tcW w:type="dxa" w:w="163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Two-sided sign p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sz w:val="18"/>
              </w:rPr>
              <w:t>Highest-mean probe (primary)</w:t>
            </w:r>
          </w:p>
        </w:tc>
        <w:tc>
          <w:tcPr>
            <w:tcW w:type="dxa" w:w="1484"/>
            <w:vAlign w:val="center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2226"/>
            <w:vAlign w:val="center"/>
          </w:tcPr>
          <w:p>
            <w:pPr>
              <w:jc w:val="center"/>
            </w:pPr>
            <w:r>
              <w:rPr>
                <w:sz w:val="18"/>
              </w:rPr>
              <w:t>77.4%</w:t>
            </w:r>
          </w:p>
        </w:tc>
        <w:tc>
          <w:tcPr>
            <w:tcW w:type="dxa" w:w="2226"/>
            <w:vAlign w:val="center"/>
          </w:tcPr>
          <w:p>
            <w:pPr>
              <w:jc w:val="center"/>
            </w:pPr>
            <w:r>
              <w:rPr>
                <w:sz w:val="18"/>
              </w:rPr>
              <w:t>23.3%</w:t>
            </w:r>
          </w:p>
        </w:tc>
        <w:tc>
          <w:tcPr>
            <w:tcW w:type="dxa" w:w="1633"/>
            <w:vAlign w:val="center"/>
          </w:tcPr>
          <w:p>
            <w:pPr>
              <w:jc w:val="center"/>
            </w:pPr>
            <w:r>
              <w:rPr>
                <w:sz w:val="18"/>
              </w:rPr>
              <w:t>0.0052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First probe</w:t>
            </w:r>
          </w:p>
        </w:tc>
        <w:tc>
          <w:tcPr>
            <w:tcW w:type="dxa" w:w="148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222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83.9%</w:t>
            </w:r>
          </w:p>
        </w:tc>
        <w:tc>
          <w:tcPr>
            <w:tcW w:type="dxa" w:w="222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30.0%</w:t>
            </w:r>
          </w:p>
        </w:tc>
        <w:tc>
          <w:tcPr>
            <w:tcW w:type="dxa" w:w="163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0.0428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sz w:val="18"/>
              </w:rPr>
              <w:t>Median probe</w:t>
            </w:r>
          </w:p>
        </w:tc>
        <w:tc>
          <w:tcPr>
            <w:tcW w:type="dxa" w:w="1484"/>
            <w:vAlign w:val="center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2226"/>
            <w:vAlign w:val="center"/>
          </w:tcPr>
          <w:p>
            <w:pPr>
              <w:jc w:val="center"/>
            </w:pPr>
            <w:r>
              <w:rPr>
                <w:sz w:val="18"/>
              </w:rPr>
              <w:t>74.2%</w:t>
            </w:r>
          </w:p>
        </w:tc>
        <w:tc>
          <w:tcPr>
            <w:tcW w:type="dxa" w:w="2226"/>
            <w:vAlign w:val="center"/>
          </w:tcPr>
          <w:p>
            <w:pPr>
              <w:jc w:val="center"/>
            </w:pPr>
            <w:r>
              <w:rPr>
                <w:sz w:val="18"/>
              </w:rPr>
              <w:t>33.3%</w:t>
            </w:r>
          </w:p>
        </w:tc>
        <w:tc>
          <w:tcPr>
            <w:tcW w:type="dxa" w:w="1633"/>
            <w:vAlign w:val="center"/>
          </w:tcPr>
          <w:p>
            <w:pPr>
              <w:jc w:val="center"/>
            </w:pPr>
            <w:r>
              <w:rPr>
                <w:sz w:val="18"/>
              </w:rPr>
              <w:t>0.0987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Random probe, median (2.5-97.5%)</w:t>
            </w:r>
          </w:p>
        </w:tc>
        <w:tc>
          <w:tcPr>
            <w:tcW w:type="dxa" w:w="148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222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71.0% (61.3%-80.6%)</w:t>
            </w:r>
          </w:p>
        </w:tc>
        <w:tc>
          <w:tcPr>
            <w:tcW w:type="dxa" w:w="2226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36.7% (23.3%-48.4%)</w:t>
            </w:r>
          </w:p>
        </w:tc>
        <w:tc>
          <w:tcPr>
            <w:tcW w:type="dxa" w:w="163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0.2005 (median)</w:t>
            </w:r>
          </w:p>
        </w:tc>
      </w:tr>
    </w:tbl>
    <w:p/>
    <w:p>
      <w:r>
        <w:t>The primary analysis used the highest-mean probe per gene. Alternative collapsing rules and 100 random-probe selections did not exceed 50% ECM concordance, but they showed that the exact below-chance level in the primary analysis was sensitive to probe selection.</w:t>
      </w:r>
    </w:p>
    <w:p>
      <w:pPr>
        <w:pStyle w:val="Heading1"/>
        <w:keepNext/>
      </w:pPr>
      <w:r>
        <w:t>Table S24. Gene-identity sensitivity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584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81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mapping</w:t>
            </w:r>
          </w:p>
        </w:tc>
        <w:tc>
          <w:tcPr>
            <w:tcW w:type="dxa" w:w="3584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Alias-aware mapping</w:t>
            </w:r>
          </w:p>
        </w:tc>
      </w:tr>
      <w:tr>
        <w:trPr>
          <w:cantSplit/>
        </w:trPr>
        <w:tc>
          <w:tcPr>
            <w:tcW w:type="dxa" w:w="3584"/>
            <w:vAlign w:val="center"/>
          </w:tcPr>
          <w:p>
            <w:pPr>
              <w:jc w:val="left"/>
            </w:pPr>
            <w:r>
              <w:rPr>
                <w:sz w:val="18"/>
              </w:rPr>
              <w:t>Platform gene symbols</w:t>
            </w:r>
          </w:p>
        </w:tc>
        <w:tc>
          <w:tcPr>
            <w:tcW w:type="dxa" w:w="2481"/>
            <w:vAlign w:val="center"/>
          </w:tcPr>
          <w:p>
            <w:pPr>
              <w:jc w:val="center"/>
            </w:pPr>
            <w:r>
              <w:rPr>
                <w:sz w:val="18"/>
              </w:rPr>
              <w:t>22107</w:t>
            </w:r>
          </w:p>
        </w:tc>
        <w:tc>
          <w:tcPr>
            <w:tcW w:type="dxa" w:w="3584"/>
            <w:vAlign w:val="center"/>
          </w:tcPr>
          <w:p>
            <w:pPr>
              <w:jc w:val="center"/>
            </w:pPr>
            <w:r>
              <w:rPr>
                <w:sz w:val="18"/>
              </w:rPr>
              <w:t>22107</w:t>
            </w:r>
          </w:p>
        </w:tc>
      </w:tr>
      <w:tr>
        <w:trPr>
          <w:cantSplit/>
        </w:trPr>
        <w:tc>
          <w:tcPr>
            <w:tcW w:type="dxa" w:w="3584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Current canonical symbols</w:t>
            </w:r>
          </w:p>
        </w:tc>
        <w:tc>
          <w:tcPr>
            <w:tcW w:type="dxa" w:w="248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17704</w:t>
            </w:r>
          </w:p>
        </w:tc>
        <w:tc>
          <w:tcPr>
            <w:tcW w:type="dxa" w:w="358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17704</w:t>
            </w:r>
          </w:p>
        </w:tc>
      </w:tr>
      <w:tr>
        <w:trPr>
          <w:cantSplit/>
        </w:trPr>
        <w:tc>
          <w:tcPr>
            <w:tcW w:type="dxa" w:w="3584"/>
            <w:vAlign w:val="center"/>
          </w:tcPr>
          <w:p>
            <w:pPr>
              <w:jc w:val="left"/>
            </w:pPr>
            <w:r>
              <w:rPr>
                <w:sz w:val="18"/>
              </w:rPr>
              <w:t>Alias-only symbols recovered</w:t>
            </w:r>
          </w:p>
        </w:tc>
        <w:tc>
          <w:tcPr>
            <w:tcW w:type="dxa" w:w="2481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584"/>
            <w:vAlign w:val="center"/>
          </w:tcPr>
          <w:p>
            <w:pPr>
              <w:jc w:val="center"/>
            </w:pPr>
            <w:r>
              <w:rPr>
                <w:sz w:val="18"/>
              </w:rPr>
              <w:t>1098</w:t>
            </w:r>
          </w:p>
        </w:tc>
      </w:tr>
      <w:tr>
        <w:trPr>
          <w:cantSplit/>
        </w:trPr>
        <w:tc>
          <w:tcPr>
            <w:tcW w:type="dxa" w:w="3584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Unresolved symbols</w:t>
            </w:r>
          </w:p>
        </w:tc>
        <w:tc>
          <w:tcPr>
            <w:tcW w:type="dxa" w:w="248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3305</w:t>
            </w:r>
          </w:p>
        </w:tc>
        <w:tc>
          <w:tcPr>
            <w:tcW w:type="dxa" w:w="358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3305</w:t>
            </w:r>
          </w:p>
        </w:tc>
      </w:tr>
      <w:tr>
        <w:trPr>
          <w:cantSplit/>
        </w:trPr>
        <w:tc>
          <w:tcPr>
            <w:tcW w:type="dxa" w:w="3584"/>
            <w:vAlign w:val="center"/>
          </w:tcPr>
          <w:p>
            <w:pPr>
              <w:jc w:val="left"/>
            </w:pPr>
            <w:r>
              <w:rPr>
                <w:sz w:val="18"/>
              </w:rPr>
              <w:t>Ambiguous alias keys removed</w:t>
            </w:r>
          </w:p>
        </w:tc>
        <w:tc>
          <w:tcPr>
            <w:tcW w:type="dxa" w:w="2481"/>
            <w:vAlign w:val="center"/>
          </w:tcPr>
          <w:p>
            <w:pPr>
              <w:jc w:val="center"/>
            </w:pPr>
            <w:r>
              <w:rPr>
                <w:sz w:val="18"/>
              </w:rPr>
              <w:t>4434</w:t>
            </w:r>
          </w:p>
        </w:tc>
        <w:tc>
          <w:tcPr>
            <w:tcW w:type="dxa" w:w="3584"/>
            <w:vAlign w:val="center"/>
          </w:tcPr>
          <w:p>
            <w:pPr>
              <w:jc w:val="center"/>
            </w:pPr>
            <w:r>
              <w:rPr>
                <w:sz w:val="18"/>
              </w:rPr>
              <w:t>4434</w:t>
            </w:r>
          </w:p>
        </w:tc>
      </w:tr>
      <w:tr>
        <w:trPr>
          <w:cantSplit/>
        </w:trPr>
        <w:tc>
          <w:tcPr>
            <w:tcW w:type="dxa" w:w="3584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Modules tested</w:t>
            </w:r>
          </w:p>
        </w:tc>
        <w:tc>
          <w:tcPr>
            <w:tcW w:type="dxa" w:w="248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1554</w:t>
            </w:r>
          </w:p>
        </w:tc>
        <w:tc>
          <w:tcPr>
            <w:tcW w:type="dxa" w:w="358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1572</w:t>
            </w:r>
          </w:p>
        </w:tc>
      </w:tr>
      <w:tr>
        <w:trPr>
          <w:cantSplit/>
        </w:trPr>
        <w:tc>
          <w:tcPr>
            <w:tcW w:type="dxa" w:w="3584"/>
            <w:vAlign w:val="center"/>
          </w:tcPr>
          <w:p>
            <w:pPr>
              <w:jc w:val="left"/>
            </w:pPr>
            <w:r>
              <w:rPr>
                <w:sz w:val="18"/>
              </w:rPr>
              <w:t>Significant in one cohort</w:t>
            </w:r>
          </w:p>
        </w:tc>
        <w:tc>
          <w:tcPr>
            <w:tcW w:type="dxa" w:w="2481"/>
            <w:vAlign w:val="center"/>
          </w:tcPr>
          <w:p>
            <w:pPr>
              <w:jc w:val="center"/>
            </w:pPr>
            <w:r>
              <w:rPr>
                <w:sz w:val="18"/>
              </w:rPr>
              <w:t>673</w:t>
            </w:r>
          </w:p>
        </w:tc>
        <w:tc>
          <w:tcPr>
            <w:tcW w:type="dxa" w:w="3584"/>
            <w:vAlign w:val="center"/>
          </w:tcPr>
          <w:p>
            <w:pPr>
              <w:jc w:val="center"/>
            </w:pPr>
            <w:r>
              <w:rPr>
                <w:sz w:val="18"/>
              </w:rPr>
              <w:t>692</w:t>
            </w:r>
          </w:p>
        </w:tc>
      </w:tr>
      <w:tr>
        <w:trPr>
          <w:cantSplit/>
        </w:trPr>
        <w:tc>
          <w:tcPr>
            <w:tcW w:type="dxa" w:w="3584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Significant in both cohorts</w:t>
            </w:r>
          </w:p>
        </w:tc>
        <w:tc>
          <w:tcPr>
            <w:tcW w:type="dxa" w:w="248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358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3584"/>
            <w:vAlign w:val="center"/>
          </w:tcPr>
          <w:p>
            <w:pPr>
              <w:jc w:val="left"/>
            </w:pPr>
            <w:r>
              <w:rPr>
                <w:sz w:val="18"/>
              </w:rPr>
              <w:t>Nominal gene-level results</w:t>
            </w:r>
          </w:p>
        </w:tc>
        <w:tc>
          <w:tcPr>
            <w:tcW w:type="dxa" w:w="2481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3584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584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Strict FDR results</w:t>
            </w:r>
          </w:p>
        </w:tc>
        <w:tc>
          <w:tcPr>
            <w:tcW w:type="dxa" w:w="2481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584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t>The primary mapping retained supplied platform symbols. The alias-aware mapping additionally used current synonyms and nomenclature-authority symbols from human gene_info. It recovered 1,098 alias-only symbols but left 3,305 unresolved and removed 4,434 ambiguous alias keys. The strict FDR conclusion remained zero modules, while broader nominal counts changed modestly.</w:t>
      </w:r>
    </w:p>
    <w:p>
      <w:pPr>
        <w:pStyle w:val="Heading1"/>
        <w:keepNext/>
      </w:pPr>
      <w:r>
        <w:t>Table S25. Scale-invariant trend sensitivity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3496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Analysis</w:t>
            </w:r>
          </w:p>
        </w:tc>
        <w:tc>
          <w:tcPr>
            <w:tcW w:type="dxa" w:w="139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GSE70362 ECM up</w:t>
            </w:r>
          </w:p>
        </w:tc>
        <w:tc>
          <w:tcPr>
            <w:tcW w:type="dxa" w:w="139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GSE23130 ECM up</w:t>
            </w:r>
          </w:p>
        </w:tc>
        <w:tc>
          <w:tcPr>
            <w:tcW w:type="dxa" w:w="181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ECM concordance</w:t>
            </w:r>
          </w:p>
        </w:tc>
        <w:tc>
          <w:tcPr>
            <w:tcW w:type="dxa" w:w="1538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Two-sided sign p</w:t>
            </w:r>
          </w:p>
        </w:tc>
      </w:tr>
      <w:tr>
        <w:trPr>
          <w:cantSplit/>
        </w:trPr>
        <w:tc>
          <w:tcPr>
            <w:tcW w:type="dxa" w:w="3496"/>
            <w:vAlign w:val="center"/>
          </w:tcPr>
          <w:p>
            <w:pPr>
              <w:jc w:val="left"/>
            </w:pPr>
            <w:r>
              <w:rPr>
                <w:sz w:val="18"/>
              </w:rPr>
              <w:t>Adjusted OLS (primary)</w:t>
            </w:r>
          </w:p>
        </w:tc>
        <w:tc>
          <w:tcPr>
            <w:tcW w:type="dxa" w:w="1398"/>
            <w:vAlign w:val="center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1398"/>
            <w:vAlign w:val="center"/>
          </w:tcPr>
          <w:p>
            <w:pPr>
              <w:jc w:val="center"/>
            </w:pPr>
            <w:r>
              <w:rPr>
                <w:sz w:val="18"/>
              </w:rPr>
              <w:t>77.4%</w:t>
            </w:r>
          </w:p>
        </w:tc>
        <w:tc>
          <w:tcPr>
            <w:tcW w:type="dxa" w:w="1818"/>
            <w:vAlign w:val="center"/>
          </w:tcPr>
          <w:p>
            <w:pPr>
              <w:jc w:val="center"/>
            </w:pPr>
            <w:r>
              <w:rPr>
                <w:sz w:val="18"/>
              </w:rPr>
              <w:t>23.3%</w:t>
            </w:r>
          </w:p>
        </w:tc>
        <w:tc>
          <w:tcPr>
            <w:tcW w:type="dxa" w:w="1538"/>
            <w:vAlign w:val="center"/>
          </w:tcPr>
          <w:p>
            <w:pPr>
              <w:jc w:val="center"/>
            </w:pPr>
            <w:r>
              <w:rPr>
                <w:sz w:val="18"/>
              </w:rPr>
              <w:t>0.0052</w:t>
            </w:r>
          </w:p>
        </w:tc>
      </w:tr>
      <w:tr>
        <w:trPr>
          <w:cantSplit/>
        </w:trPr>
        <w:tc>
          <w:tcPr>
            <w:tcW w:type="dxa" w:w="3496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Unadjusted Spearman trend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46.7%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64.5%</w:t>
            </w:r>
          </w:p>
        </w:tc>
        <w:tc>
          <w:tcPr>
            <w:tcW w:type="dxa" w:w="181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33.3%</w:t>
            </w:r>
          </w:p>
        </w:tc>
        <w:tc>
          <w:tcPr>
            <w:tcW w:type="dxa" w:w="1538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0.0987</w:t>
            </w:r>
          </w:p>
        </w:tc>
      </w:tr>
      <w:tr>
        <w:trPr>
          <w:cantSplit/>
        </w:trPr>
        <w:tc>
          <w:tcPr>
            <w:tcW w:type="dxa" w:w="3496"/>
            <w:vAlign w:val="center"/>
          </w:tcPr>
          <w:p>
            <w:pPr>
              <w:jc w:val="left"/>
            </w:pPr>
            <w:r>
              <w:rPr>
                <w:sz w:val="18"/>
              </w:rPr>
              <w:t>Batch/source-stratified Spearman trend</w:t>
            </w:r>
          </w:p>
        </w:tc>
        <w:tc>
          <w:tcPr>
            <w:tcW w:type="dxa" w:w="1398"/>
            <w:vAlign w:val="center"/>
          </w:tcPr>
          <w:p>
            <w:pPr>
              <w:jc w:val="center"/>
            </w:pPr>
            <w:r>
              <w:rPr>
                <w:sz w:val="18"/>
              </w:rPr>
              <w:t>53.3%</w:t>
            </w:r>
          </w:p>
        </w:tc>
        <w:tc>
          <w:tcPr>
            <w:tcW w:type="dxa" w:w="1398"/>
            <w:vAlign w:val="center"/>
          </w:tcPr>
          <w:p>
            <w:pPr>
              <w:jc w:val="center"/>
            </w:pPr>
            <w:r>
              <w:rPr>
                <w:sz w:val="18"/>
              </w:rPr>
              <w:t>74.2%</w:t>
            </w:r>
          </w:p>
        </w:tc>
        <w:tc>
          <w:tcPr>
            <w:tcW w:type="dxa" w:w="1818"/>
            <w:vAlign w:val="center"/>
          </w:tcPr>
          <w:p>
            <w:pPr>
              <w:jc w:val="center"/>
            </w:pPr>
            <w:r>
              <w:rPr>
                <w:sz w:val="18"/>
              </w:rPr>
              <w:t>36.7%</w:t>
            </w:r>
          </w:p>
        </w:tc>
        <w:tc>
          <w:tcPr>
            <w:tcW w:type="dxa" w:w="1538"/>
            <w:vAlign w:val="center"/>
          </w:tcPr>
          <w:p>
            <w:pPr>
              <w:jc w:val="center"/>
            </w:pPr>
            <w:r>
              <w:rPr>
                <w:sz w:val="18"/>
              </w:rPr>
              <w:t>0.2005</w:t>
            </w:r>
          </w:p>
        </w:tc>
      </w:tr>
    </w:tbl>
    <w:p/>
    <w:p>
      <w:r>
        <w:t>Spearman trends are invariant to any strictly increasing transformation of each gene across samples and therefore test whether the direction call is driven by platform-specific scale assumptions. The stratified analysis averages gene-wise Spearman trends within batch or source strata with at least four samples and three observed grades.</w:t>
      </w:r>
    </w:p>
    <w:p>
      <w:pPr>
        <w:pStyle w:val="Heading1"/>
        <w:keepNext/>
      </w:pPr>
      <w:r>
        <w:t>Table S26. Module-family FDR and overlap sensitivity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1960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Mapping</w:t>
            </w:r>
          </w:p>
        </w:tc>
        <w:tc>
          <w:tcPr>
            <w:tcW w:type="dxa" w:w="1809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1357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1809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gene-level</w:t>
            </w:r>
          </w:p>
        </w:tc>
        <w:tc>
          <w:tcPr>
            <w:tcW w:type="dxa" w:w="2713"/>
            <w:vAlign w:val="center"/>
            <w:shd w:fill="334E6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Collection-local FDR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sz w:val="18"/>
              </w:rPr>
              <w:t>primary</w:t>
            </w:r>
          </w:p>
        </w:tc>
        <w:tc>
          <w:tcPr>
            <w:tcW w:type="dxa" w:w="1809"/>
            <w:vAlign w:val="center"/>
          </w:tcPr>
          <w:p>
            <w:pPr>
              <w:jc w:val="center"/>
            </w:pPr>
            <w:r>
              <w:rPr>
                <w:sz w:val="18"/>
              </w:rPr>
              <w:t>Hallmark</w:t>
            </w:r>
          </w:p>
        </w:tc>
        <w:tc>
          <w:tcPr>
            <w:tcW w:type="dxa" w:w="1357"/>
            <w:vAlign w:val="center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809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71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6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primary</w:t>
            </w:r>
          </w:p>
        </w:tc>
        <w:tc>
          <w:tcPr>
            <w:tcW w:type="dxa" w:w="180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KEGG</w:t>
            </w:r>
          </w:p>
        </w:tc>
        <w:tc>
          <w:tcPr>
            <w:tcW w:type="dxa" w:w="13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  <w:tc>
          <w:tcPr>
            <w:tcW w:type="dxa" w:w="180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71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sz w:val="18"/>
              </w:rPr>
              <w:t>primary</w:t>
            </w:r>
          </w:p>
        </w:tc>
        <w:tc>
          <w:tcPr>
            <w:tcW w:type="dxa" w:w="1809"/>
            <w:vAlign w:val="center"/>
          </w:tcPr>
          <w:p>
            <w:pPr>
              <w:jc w:val="center"/>
            </w:pPr>
            <w:r>
              <w:rPr>
                <w:sz w:val="18"/>
              </w:rPr>
              <w:t>Reactome</w:t>
            </w:r>
          </w:p>
        </w:tc>
        <w:tc>
          <w:tcPr>
            <w:tcW w:type="dxa" w:w="1357"/>
            <w:vAlign w:val="center"/>
          </w:tcPr>
          <w:p>
            <w:pPr>
              <w:jc w:val="center"/>
            </w:pPr>
            <w:r>
              <w:rPr>
                <w:sz w:val="18"/>
              </w:rPr>
              <w:t>1322</w:t>
            </w:r>
          </w:p>
        </w:tc>
        <w:tc>
          <w:tcPr>
            <w:tcW w:type="dxa" w:w="1809"/>
            <w:vAlign w:val="cente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71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6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alias-aware</w:t>
            </w:r>
          </w:p>
        </w:tc>
        <w:tc>
          <w:tcPr>
            <w:tcW w:type="dxa" w:w="180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Hallmark</w:t>
            </w:r>
          </w:p>
        </w:tc>
        <w:tc>
          <w:tcPr>
            <w:tcW w:type="dxa" w:w="13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80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71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sz w:val="18"/>
              </w:rPr>
              <w:t>alias-aware</w:t>
            </w:r>
          </w:p>
        </w:tc>
        <w:tc>
          <w:tcPr>
            <w:tcW w:type="dxa" w:w="1809"/>
            <w:vAlign w:val="center"/>
          </w:tcPr>
          <w:p>
            <w:pPr>
              <w:jc w:val="center"/>
            </w:pPr>
            <w:r>
              <w:rPr>
                <w:sz w:val="18"/>
              </w:rPr>
              <w:t>KEGG</w:t>
            </w:r>
          </w:p>
        </w:tc>
        <w:tc>
          <w:tcPr>
            <w:tcW w:type="dxa" w:w="1357"/>
            <w:vAlign w:val="center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1809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71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60"/>
            <w:vAlign w:val="center"/>
            <w:shd w:fill="F2F4F7"/>
          </w:tcPr>
          <w:p>
            <w:pPr>
              <w:jc w:val="left"/>
            </w:pPr>
            <w:r>
              <w:rPr>
                <w:sz w:val="18"/>
              </w:rPr>
              <w:t>alias-aware</w:t>
            </w:r>
          </w:p>
        </w:tc>
        <w:tc>
          <w:tcPr>
            <w:tcW w:type="dxa" w:w="180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Reactome</w:t>
            </w:r>
          </w:p>
        </w:tc>
        <w:tc>
          <w:tcPr>
            <w:tcW w:type="dxa" w:w="1357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1338</w:t>
            </w:r>
          </w:p>
        </w:tc>
        <w:tc>
          <w:tcPr>
            <w:tcW w:type="dxa" w:w="1809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713"/>
            <w:vAlign w:val="center"/>
            <w:shd w:fill="F2F4F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t>The module sets were not independent. Among 1,554 tested modules, 243,830 pairs had nonzero Jaccard overlap, 1,636 exceeded Jaccard 0.5 and 94 exceeded 0.8. Collection-local FDR was zero for Hallmark, KEGG and Reactome under both primary and alias-aware mappings.</w:t>
      </w:r>
    </w:p>
    <w:p>
      <w:pPr>
        <w:pStyle w:val="Heading1"/>
        <w:keepNext/>
      </w:pPr>
      <w:r>
        <w:t>Table S27. Nominally replicated modules</w:t>
      </w:r>
    </w:p>
    <w:p>
      <w:r>
        <w:t>The 14 modules that reached Level 3 (candidate gene-level replication) at nominal p-values are a hypothesis-generating shortlist, not a biological conclusion; 0 survived the strict FDR gate. The top 10 by gene-level concordance are shown here; the full list is in `results/msigdb_module_audit.csv`.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4077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087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Genes</w:t>
            </w:r>
          </w:p>
        </w:tc>
        <w:tc>
          <w:tcPr>
            <w:tcW w:type="dxa" w:w="1359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GSE70362 up</w:t>
            </w:r>
          </w:p>
        </w:tc>
        <w:tc>
          <w:tcPr>
            <w:tcW w:type="dxa" w:w="1359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GSE23130 up</w:t>
            </w:r>
          </w:p>
        </w:tc>
        <w:tc>
          <w:tcPr>
            <w:tcW w:type="dxa" w:w="1767"/>
            <w:vAlign w:val="center"/>
            <w:shd w:fill="334E68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Concordance</w:t>
            </w:r>
          </w:p>
        </w:tc>
      </w:tr>
      <w:tr>
        <w:trPr>
          <w:cantSplit/>
        </w:trPr>
        <w:tc>
          <w:tcPr>
            <w:tcW w:type="dxa" w:w="4077"/>
            <w:vAlign w:val="center"/>
          </w:tcPr>
          <w:p>
            <w:pPr>
              <w:jc w:val="left"/>
            </w:pPr>
            <w:r>
              <w:rPr>
                <w:sz w:val="17"/>
              </w:rPr>
              <w:t>KEGG_PROTEIN_EXPORT</w:t>
            </w:r>
          </w:p>
        </w:tc>
        <w:tc>
          <w:tcPr>
            <w:tcW w:type="dxa" w:w="1087"/>
            <w:vAlign w:val="center"/>
          </w:tcPr>
          <w:p>
            <w:pPr>
              <w:jc w:val="left"/>
            </w:pPr>
            <w:r>
              <w:rPr>
                <w:sz w:val="17"/>
              </w:rPr>
              <w:t>22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95.5%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77.3%</w:t>
            </w:r>
          </w:p>
        </w:tc>
        <w:tc>
          <w:tcPr>
            <w:tcW w:type="dxa" w:w="1767"/>
            <w:vAlign w:val="center"/>
          </w:tcPr>
          <w:p>
            <w:pPr>
              <w:jc w:val="left"/>
            </w:pPr>
            <w:r>
              <w:rPr>
                <w:sz w:val="17"/>
              </w:rPr>
              <w:t>81.8%</w:t>
            </w:r>
          </w:p>
        </w:tc>
      </w:tr>
      <w:tr>
        <w:trPr>
          <w:cantSplit/>
        </w:trPr>
        <w:tc>
          <w:tcPr>
            <w:tcW w:type="dxa" w:w="407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REACTOME_HSP90_CHAPERONE_CYCLE_FOR_STEROID_HORMONE_RECEPTORS_SHR_IN_THE_PRESENCE_OF_LIGAND</w:t>
            </w:r>
          </w:p>
        </w:tc>
        <w:tc>
          <w:tcPr>
            <w:tcW w:type="dxa" w:w="108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49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65.3%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77.6%</w:t>
            </w:r>
          </w:p>
        </w:tc>
        <w:tc>
          <w:tcPr>
            <w:tcW w:type="dxa" w:w="176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75.5%</w:t>
            </w:r>
          </w:p>
        </w:tc>
      </w:tr>
      <w:tr>
        <w:trPr>
          <w:cantSplit/>
        </w:trPr>
        <w:tc>
          <w:tcPr>
            <w:tcW w:type="dxa" w:w="4077"/>
            <w:vAlign w:val="center"/>
          </w:tcPr>
          <w:p>
            <w:pPr>
              <w:jc w:val="left"/>
            </w:pPr>
            <w:r>
              <w:rPr>
                <w:sz w:val="17"/>
              </w:rPr>
              <w:t>REACTOME_ANTIGEN_PRESENTATION_FOLDING_ASSEMBLY_AND_PEPTIDE_LOADING_OF_CLASS_I_MHC</w:t>
            </w:r>
          </w:p>
        </w:tc>
        <w:tc>
          <w:tcPr>
            <w:tcW w:type="dxa" w:w="1087"/>
            <w:vAlign w:val="center"/>
          </w:tcPr>
          <w:p>
            <w:pPr>
              <w:jc w:val="left"/>
            </w:pPr>
            <w:r>
              <w:rPr>
                <w:sz w:val="17"/>
              </w:rPr>
              <w:t>29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69.0%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75.9%</w:t>
            </w:r>
          </w:p>
        </w:tc>
        <w:tc>
          <w:tcPr>
            <w:tcW w:type="dxa" w:w="1767"/>
            <w:vAlign w:val="center"/>
          </w:tcPr>
          <w:p>
            <w:pPr>
              <w:jc w:val="left"/>
            </w:pPr>
            <w:r>
              <w:rPr>
                <w:sz w:val="17"/>
              </w:rPr>
              <w:t>72.4%</w:t>
            </w:r>
          </w:p>
        </w:tc>
      </w:tr>
      <w:tr>
        <w:trPr>
          <w:cantSplit/>
        </w:trPr>
        <w:tc>
          <w:tcPr>
            <w:tcW w:type="dxa" w:w="407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REACTOME_CHAPERONE_MEDIATED_AUTOPHAGY</w:t>
            </w:r>
          </w:p>
        </w:tc>
        <w:tc>
          <w:tcPr>
            <w:tcW w:type="dxa" w:w="108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21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71.4%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71.4%</w:t>
            </w:r>
          </w:p>
        </w:tc>
        <w:tc>
          <w:tcPr>
            <w:tcW w:type="dxa" w:w="176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71.4%</w:t>
            </w:r>
          </w:p>
        </w:tc>
      </w:tr>
      <w:tr>
        <w:trPr>
          <w:cantSplit/>
        </w:trPr>
        <w:tc>
          <w:tcPr>
            <w:tcW w:type="dxa" w:w="4077"/>
            <w:vAlign w:val="center"/>
          </w:tcPr>
          <w:p>
            <w:pPr>
              <w:jc w:val="left"/>
            </w:pPr>
            <w:r>
              <w:rPr>
                <w:sz w:val="17"/>
              </w:rPr>
              <w:t>REACTOME_RHO_GTPASES_ACTIVATE_IQGAPS</w:t>
            </w:r>
          </w:p>
        </w:tc>
        <w:tc>
          <w:tcPr>
            <w:tcW w:type="dxa" w:w="1087"/>
            <w:vAlign w:val="center"/>
          </w:tcPr>
          <w:p>
            <w:pPr>
              <w:jc w:val="left"/>
            </w:pPr>
            <w:r>
              <w:rPr>
                <w:sz w:val="17"/>
              </w:rPr>
              <w:t>27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70.4%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85.2%</w:t>
            </w:r>
          </w:p>
        </w:tc>
        <w:tc>
          <w:tcPr>
            <w:tcW w:type="dxa" w:w="1767"/>
            <w:vAlign w:val="center"/>
          </w:tcPr>
          <w:p>
            <w:pPr>
              <w:jc w:val="left"/>
            </w:pPr>
            <w:r>
              <w:rPr>
                <w:sz w:val="17"/>
              </w:rPr>
              <w:t>70.4%</w:t>
            </w:r>
          </w:p>
        </w:tc>
      </w:tr>
      <w:tr>
        <w:trPr>
          <w:cantSplit/>
        </w:trPr>
        <w:tc>
          <w:tcPr>
            <w:tcW w:type="dxa" w:w="407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REACTOME_SRP_DEPENDENT_COTRANSLATIONAL_PROTEIN_TARGETING_TO_MEMBRANE</w:t>
            </w:r>
          </w:p>
        </w:tc>
        <w:tc>
          <w:tcPr>
            <w:tcW w:type="dxa" w:w="108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63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77.8%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87.3%</w:t>
            </w:r>
          </w:p>
        </w:tc>
        <w:tc>
          <w:tcPr>
            <w:tcW w:type="dxa" w:w="176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68.3%</w:t>
            </w:r>
          </w:p>
        </w:tc>
      </w:tr>
      <w:tr>
        <w:trPr>
          <w:cantSplit/>
        </w:trPr>
        <w:tc>
          <w:tcPr>
            <w:tcW w:type="dxa" w:w="4077"/>
            <w:vAlign w:val="center"/>
          </w:tcPr>
          <w:p>
            <w:pPr>
              <w:jc w:val="left"/>
            </w:pPr>
            <w:r>
              <w:rPr>
                <w:sz w:val="17"/>
              </w:rPr>
              <w:t>KEGG_PATHOGENIC_ESCHERICHIA_COLI_INFECTION</w:t>
            </w:r>
          </w:p>
        </w:tc>
        <w:tc>
          <w:tcPr>
            <w:tcW w:type="dxa" w:w="1087"/>
            <w:vAlign w:val="center"/>
          </w:tcPr>
          <w:p>
            <w:pPr>
              <w:jc w:val="left"/>
            </w:pPr>
            <w:r>
              <w:rPr>
                <w:sz w:val="17"/>
              </w:rPr>
              <w:t>44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72.7%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77.3%</w:t>
            </w:r>
          </w:p>
        </w:tc>
        <w:tc>
          <w:tcPr>
            <w:tcW w:type="dxa" w:w="1767"/>
            <w:vAlign w:val="center"/>
          </w:tcPr>
          <w:p>
            <w:pPr>
              <w:jc w:val="left"/>
            </w:pPr>
            <w:r>
              <w:rPr>
                <w:sz w:val="17"/>
              </w:rPr>
              <w:t>68.2%</w:t>
            </w:r>
          </w:p>
        </w:tc>
      </w:tr>
      <w:tr>
        <w:trPr>
          <w:cantSplit/>
        </w:trPr>
        <w:tc>
          <w:tcPr>
            <w:tcW w:type="dxa" w:w="407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REACTOME_COOPERATION_OF_PREFOLDIN_AND_TRIC_CCT_IN_ACTIN_AND_TUBULIN_FOLDING</w:t>
            </w:r>
          </w:p>
        </w:tc>
        <w:tc>
          <w:tcPr>
            <w:tcW w:type="dxa" w:w="108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31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67.7%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80.6%</w:t>
            </w:r>
          </w:p>
        </w:tc>
        <w:tc>
          <w:tcPr>
            <w:tcW w:type="dxa" w:w="176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67.7%</w:t>
            </w:r>
          </w:p>
        </w:tc>
      </w:tr>
      <w:tr>
        <w:trPr>
          <w:cantSplit/>
        </w:trPr>
        <w:tc>
          <w:tcPr>
            <w:tcW w:type="dxa" w:w="4077"/>
            <w:vAlign w:val="center"/>
          </w:tcPr>
          <w:p>
            <w:pPr>
              <w:jc w:val="left"/>
            </w:pPr>
            <w:r>
              <w:rPr>
                <w:sz w:val="17"/>
              </w:rPr>
              <w:t>REACTOME_CYCLIN_D_ASSOCIATED_EVENTS_IN_G1</w:t>
            </w:r>
          </w:p>
        </w:tc>
        <w:tc>
          <w:tcPr>
            <w:tcW w:type="dxa" w:w="1087"/>
            <w:vAlign w:val="center"/>
          </w:tcPr>
          <w:p>
            <w:pPr>
              <w:jc w:val="left"/>
            </w:pPr>
            <w:r>
              <w:rPr>
                <w:sz w:val="17"/>
              </w:rPr>
              <w:t>44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65.9%</w:t>
            </w:r>
          </w:p>
        </w:tc>
        <w:tc>
          <w:tcPr>
            <w:tcW w:type="dxa" w:w="1359"/>
            <w:vAlign w:val="center"/>
          </w:tcPr>
          <w:p>
            <w:pPr>
              <w:jc w:val="left"/>
            </w:pPr>
            <w:r>
              <w:rPr>
                <w:sz w:val="17"/>
              </w:rPr>
              <w:t>63.6%</w:t>
            </w:r>
          </w:p>
        </w:tc>
        <w:tc>
          <w:tcPr>
            <w:tcW w:type="dxa" w:w="1767"/>
            <w:vAlign w:val="center"/>
          </w:tcPr>
          <w:p>
            <w:pPr>
              <w:jc w:val="left"/>
            </w:pPr>
            <w:r>
              <w:rPr>
                <w:sz w:val="17"/>
              </w:rPr>
              <w:t>65.9%</w:t>
            </w:r>
          </w:p>
        </w:tc>
      </w:tr>
      <w:tr>
        <w:trPr>
          <w:cantSplit/>
        </w:trPr>
        <w:tc>
          <w:tcPr>
            <w:tcW w:type="dxa" w:w="407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KEGG_VIBRIO_CHOLERAE_INFECTION</w:t>
            </w:r>
          </w:p>
        </w:tc>
        <w:tc>
          <w:tcPr>
            <w:tcW w:type="dxa" w:w="108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54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63.0%</w:t>
            </w:r>
          </w:p>
        </w:tc>
        <w:tc>
          <w:tcPr>
            <w:tcW w:type="dxa" w:w="1359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74.1%</w:t>
            </w:r>
          </w:p>
        </w:tc>
        <w:tc>
          <w:tcPr>
            <w:tcW w:type="dxa" w:w="1767"/>
            <w:vAlign w:val="center"/>
            <w:shd w:fill="F2F4F7"/>
          </w:tcPr>
          <w:p>
            <w:pPr>
              <w:jc w:val="left"/>
            </w:pPr>
            <w:r>
              <w:rPr>
                <w:sz w:val="17"/>
              </w:rPr>
              <w:t>63.0%</w:t>
            </w:r>
          </w:p>
        </w:tc>
      </w:tr>
    </w:tbl>
    <w:p/>
    <w:p>
      <w:pPr>
        <w:pStyle w:val="Heading1"/>
        <w:keepNext/>
      </w:pPr>
      <w:r>
        <w:t>Figure S1. Positive controls and power calibration</w:t>
      </w:r>
    </w:p>
    <w:p>
      <w:r>
        <w:t>(A) Cross-cohort ECM concordance compared with within-cohort cross-half positive controls. (B) Power of the nominal 30-gene sign test across simulated latent correlations. (C) Unweighted, effect-size-weighted and top-half effect concordance. This figure was moved from the main text (Figure 6 in earlier drafts) to keep the main-text display-item count within the journal limit.</w:t>
      </w:r>
    </w:p>
    <w:p>
      <w:pPr>
        <w:pStyle w:val="Heading1"/>
        <w:keepNext/>
      </w:pPr>
      <w:r>
        <w:t>Technical diagnostic tables</w:t>
      </w:r>
    </w:p>
    <w:p>
      <w:r>
        <w:t>The grade, batch, processing-method and source crosstabs are provided in `results/confound_*.csv`. These tables are part of the stopping rules: the unrestricted GSE23130 comparison is not used as the primary replication test because grade V occurs only in homogenized samples.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left w:val="nil"/>
        <w:bottom w:val="nil"/>
        <w:right w:val="nil"/>
      </w:pBdr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