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Page</w:t>
      </w:r>
    </w:p>
    <w:p>
      <w:r>
        <w:rPr>
          <w:b/>
        </w:rPr>
        <w:t>Article type:</w:t>
      </w:r>
      <w:r>
        <w:t xml:space="preserve"> Special Communication</w:t>
      </w:r>
    </w:p>
    <w:p>
      <w:r>
        <w:rPr>
          <w:b/>
        </w:rPr>
        <w:t>Title:</w:t>
      </w:r>
      <w:r>
        <w:t xml:space="preserve"> Module-level agreement is not replication: a reporting and reproducibility gate for public human intervertebral disc transcriptomes</w:t>
      </w:r>
    </w:p>
    <w:p>
      <w:r>
        <w:rPr>
          <w:b/>
        </w:rPr>
        <w:t>Authors:</w:t>
      </w:r>
      <w:r>
        <w:t xml:space="preserve"> Zhongyuan Liu</w:t>
      </w:r>
    </w:p>
    <w:p>
      <w:r>
        <w:rPr>
          <w:b/>
        </w:rPr>
        <w:t>Affiliations:</w:t>
      </w:r>
      <w:r>
        <w:t xml:space="preserve"> The First Clinical College of Shandong University of Traditional Chinese Medicine, Jinan, China</w:t>
      </w:r>
    </w:p>
    <w:p>
      <w:r>
        <w:rPr>
          <w:b/>
        </w:rPr>
        <w:t>Corresponding author:</w:t>
      </w:r>
      <w:r>
        <w:t xml:space="preserve"> Zhongyuan Liu, The First Clinical College of Shandong University of Traditional Chinese Medicine, Jinan, China; lzy.lui@qq.com</w:t>
      </w:r>
    </w:p>
    <w:p>
      <w:r>
        <w:rPr>
          <w:b/>
        </w:rPr>
        <w:t>Keywords:</w:t>
      </w:r>
      <w:r>
        <w:t xml:space="preserve"> reproducibility; transcriptomics; bioinformatics; gene-sets; intervertebral-disc</w:t>
      </w:r>
    </w:p>
    <w:p>
      <w:r>
        <w:rPr>
          <w:b/>
        </w:rPr>
        <w:t>Word count:</w:t>
      </w:r>
      <w:r>
        <w:t xml:space="preserve"> 4,794 words</w:t>
      </w:r>
    </w:p>
    <w:p>
      <w:r>
        <w:rPr>
          <w:b/>
        </w:rPr>
        <w:t>Figures:</w:t>
      </w:r>
      <w:r>
        <w:t xml:space="preserve"> 5</w:t>
      </w:r>
    </w:p>
    <w:p>
      <w:r>
        <w:rPr>
          <w:b/>
        </w:rPr>
        <w:t>Tables:</w:t>
      </w:r>
      <w:r>
        <w:t xml:space="preserve"> 3 (Tables 1-2 and Box 1)</w:t>
      </w:r>
    </w:p>
    <w:p>
      <w:r>
        <w:rPr>
          <w:b/>
        </w:rPr>
        <w:t>Supplementary material:</w:t>
      </w:r>
      <w:r>
        <w:t xml:space="preserve"> Tables S1-S27, Figure S1, methods and sensitivity outputs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left w:val="nil"/>
        <w:bottom w:val="nil"/>
        <w:right w:val="nil"/>
      </w:pBdr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