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v1.5.3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roles/iam.securityReviewer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enumerating project IAM bindings (resourcemanager.projects.getIamPolicy) during User Discovery</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roles/iam.securityReviewer</w:t>
      </w:r>
      <w:r>
        <w:rPr>
          <w:rFonts w:ascii="Arial" w:cs="Arial" w:eastAsia="Arial" w:hAnsi="Arial"/>
          <w:color w:val="1E293B"/>
          <w:sz w:val="21"/>
          <w:szCs w:val="21"/>
        </w:rPr>
        <w:t xml:space="preserve"> on the Source Project is mandatory. Administrative pre-flight checks and project IAM discovery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 across BOTH Target and Source Projects: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Grant roles on TARGET Project (Restore &amp; Token Minting)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--role="roles/iam.serviceAccountTokenCreator"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Grant roles on SOURCE Project (MANDATORY for Cross-Project Discovery &amp; Parity Audit)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--role="roles/iam.securityReviewer"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"migrateSkills":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106 automated tests across 14 test suites covering auth, cross-project parity pre-checks, export, decommissioning, and rollback validation</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2026-09-18T16:21:59.100Z</dcterms:created>
  <dcterms:modified xsi:type="dcterms:W3CDTF">2026-09-18T16:21:59.100Z</dcterms:modified>
</cp:coreProperties>
</file>

<file path=docProps/custom.xml><?xml version="1.0" encoding="utf-8"?>
<Properties xmlns="http://schemas.openxmlformats.org/officeDocument/2006/custom-properties" xmlns:vt="http://schemas.openxmlformats.org/officeDocument/2006/docPropsVTypes"/>
</file>