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v1.5.5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Chat Sessions, Memories &amp; Artifacts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Tool Attachments</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w:t>
      </w:r>
      <w:r>
        <w:rPr>
          <w:rFonts w:ascii="Arial" w:cs="Arial" w:eastAsia="Arial" w:hAnsi="Arial"/>
          <w:color w:val="1E293B"/>
          <w:sz w:val="21"/>
          <w:szCs w:val="21"/>
        </w:rPr>
        <w:t xml:space="preserve">: Discovers and exports user preferences, role profiles, and learned memory facts.</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forward.</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 Creates target agents as editable drafts with preserved system instructions.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 Backs up and migrates discovered user facts.</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 &amp; Architecture</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The Headless Migration Provider Pattern (`migration-dwd-provider`)</w:t>
      </w:r>
      <w:r>
        <w:rPr>
          <w:rFonts w:ascii="Arial" w:cs="Arial" w:eastAsia="Arial" w:hAnsi="Arial"/>
          <w:color w:val="1E293B"/>
          <w:sz w:val="21"/>
          <w:szCs w:val="21"/>
        </w:rPr>
        <w:t xml:space="preserve">: Standard Okta/Entra providers require interactive logins and MFA redirects. To enable automated bulk migration without passwords, the platform registers a dedicated OIDC provider (</w:t>
      </w:r>
      <w:r>
        <w:rPr>
          <w:rFonts w:ascii="Consolas" w:cs="Consolas" w:eastAsia="Consolas" w:hAnsi="Consolas"/>
          <w:color w:val="0F172A"/>
          <w:sz w:val="19"/>
          <w:szCs w:val="19"/>
          <w:shd w:fill="F1F5F9"/>
        </w:rPr>
        <w:t xml:space="preserve">migration-dwd-provider</w:t>
      </w:r>
      <w:r>
        <w:rPr>
          <w:rFonts w:ascii="Arial" w:cs="Arial" w:eastAsia="Arial" w:hAnsi="Arial"/>
          <w:color w:val="1E293B"/>
          <w:sz w:val="21"/>
          <w:szCs w:val="21"/>
        </w:rPr>
        <w:t xml:space="preserve">) directly inside the customer's existing Workforce Identity Pool using a local RSA keypair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Direct Workforce User Tokens vs. Service Account Impersonation</w:t>
      </w:r>
      <w:r>
        <w:rPr>
          <w:rFonts w:ascii="Arial" w:cs="Arial" w:eastAsia="Arial" w:hAnsi="Arial"/>
          <w:color w:val="1E293B"/>
          <w:sz w:val="21"/>
          <w:szCs w:val="21"/>
        </w:rPr>
        <w:t xml:space="preserve">: User-owned assets (NotebookLM notebooks, personalized memories, and chat sessions) </w:t>
      </w:r>
      <w:r>
        <w:rPr>
          <w:rFonts w:ascii="Arial" w:cs="Arial" w:eastAsia="Arial" w:hAnsi="Arial"/>
          <w:b/>
          <w:bCs/>
          <w:color w:val="0F172A"/>
          <w:sz w:val="21"/>
          <w:szCs w:val="21"/>
        </w:rPr>
        <w:t xml:space="preserve">cannot</w:t>
      </w:r>
      <w:r>
        <w:rPr>
          <w:rFonts w:ascii="Arial" w:cs="Arial" w:eastAsia="Arial" w:hAnsi="Arial"/>
          <w:color w:val="1E293B"/>
          <w:sz w:val="21"/>
          <w:szCs w:val="21"/>
        </w:rPr>
        <w:t xml:space="preserve"> be accessed by a Service Account (</w:t>
      </w:r>
      <w:r>
        <w:rPr>
          <w:rFonts w:ascii="Consolas" w:cs="Consolas" w:eastAsia="Consolas" w:hAnsi="Consolas"/>
          <w:color w:val="0F172A"/>
          <w:sz w:val="19"/>
          <w:szCs w:val="19"/>
          <w:shd w:fill="F1F5F9"/>
        </w:rPr>
        <w:t xml:space="preserve">gemini-dwd-migrator@...</w:t>
      </w:r>
      <w:r>
        <w:rPr>
          <w:rFonts w:ascii="Arial" w:cs="Arial" w:eastAsia="Arial" w:hAnsi="Arial"/>
          <w:color w:val="1E293B"/>
          <w:sz w:val="21"/>
          <w:szCs w:val="21"/>
        </w:rPr>
        <w:t xml:space="preserve">). The migration engine calls Discovery Engine APIs (</w:t>
      </w:r>
      <w:r>
        <w:rPr>
          <w:rFonts w:ascii="Consolas" w:cs="Consolas" w:eastAsia="Consolas" w:hAnsi="Consolas"/>
          <w:color w:val="0F172A"/>
          <w:sz w:val="19"/>
          <w:szCs w:val="19"/>
          <w:shd w:fill="F1F5F9"/>
        </w:rPr>
        <w:t xml:space="preserve">notebooks:listRecentlyViewed</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directly using the minted Workforce User STS token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principal://.../subject/&lt;USER&gt;</w:t>
      </w:r>
      <w:r>
        <w:rPr>
          <w:rFonts w:ascii="Arial" w:cs="Arial" w:eastAsia="Arial" w:hAnsi="Arial"/>
          <w:color w:val="1E293B"/>
          <w:sz w:val="21"/>
          <w:szCs w:val="21"/>
        </w:rPr>
        <w:t xml:space="preserve">). Service Account impersonation is optional and reserved for administrative infrastructure APIs.</w:t>
      </w:r>
    </w:p>
    <w:p>
      <w:pPr>
        <w:pStyle w:val="ListParagraph"/>
        <w:numPr>
          <w:ilvl w:val="0"/>
          <w:numId w:val="1"/>
        </w:numPr>
        <w:spacing w:after="60" w:line="260"/>
      </w:pPr>
      <w:r>
        <w:rPr>
          <w:rFonts w:ascii="Arial" w:cs="Arial" w:eastAsia="Arial" w:hAnsi="Arial"/>
          <w:b/>
          <w:bCs/>
          <w:color w:val="0F172A"/>
          <w:sz w:val="21"/>
          <w:szCs w:val="21"/>
        </w:rPr>
        <w:t xml:space="preserve">`google.subject` &amp; `google.groups` Parity Architecture</w:t>
      </w:r>
      <w:r>
        <w:rPr>
          <w:rFonts w:ascii="Arial" w:cs="Arial" w:eastAsia="Arial" w:hAnsi="Arial"/>
          <w:color w:val="1E293B"/>
          <w:sz w:val="21"/>
          <w:szCs w:val="21"/>
        </w:rPr>
        <w:t xml:space="preserve">: The migration provider must construct the identical principal as the production provider (e.g. </w:t>
      </w:r>
      <w:r>
        <w:rPr>
          <w:rFonts w:ascii="Consolas" w:cs="Consolas" w:eastAsia="Consolas" w:hAnsi="Consolas"/>
          <w:color w:val="0F172A"/>
          <w:sz w:val="19"/>
          <w:szCs w:val="19"/>
          <w:shd w:fill="F1F5F9"/>
        </w:rPr>
        <w:t xml:space="preserve">google.subject = assertion.email.lowerAscii()</w:t>
      </w:r>
      <w:r>
        <w:rPr>
          <w:rFonts w:ascii="Arial" w:cs="Arial" w:eastAsia="Arial" w:hAnsi="Arial"/>
          <w:color w:val="1E293B"/>
          <w:sz w:val="21"/>
          <w:szCs w:val="21"/>
        </w:rPr>
        <w:t xml:space="preserve">). If the provider lacks </w:t>
      </w:r>
      <w:r>
        <w:rPr>
          <w:rFonts w:ascii="Consolas" w:cs="Consolas" w:eastAsia="Consolas" w:hAnsi="Consolas"/>
          <w:color w:val="0F172A"/>
          <w:sz w:val="19"/>
          <w:szCs w:val="19"/>
          <w:shd w:fill="F1F5F9"/>
        </w:rPr>
        <w:t xml:space="preserve">.lowerAscii()</w:t>
      </w:r>
      <w:r>
        <w:rPr>
          <w:rFonts w:ascii="Arial" w:cs="Arial" w:eastAsia="Arial" w:hAnsi="Arial"/>
          <w:color w:val="1E293B"/>
          <w:sz w:val="21"/>
          <w:szCs w:val="21"/>
        </w:rPr>
        <w:t xml:space="preserve"> or misses </w:t>
      </w:r>
      <w:r>
        <w:rPr>
          <w:rFonts w:ascii="Consolas" w:cs="Consolas" w:eastAsia="Consolas" w:hAnsi="Consolas"/>
          <w:color w:val="0F172A"/>
          <w:sz w:val="19"/>
          <w:szCs w:val="19"/>
          <w:shd w:fill="F1F5F9"/>
        </w:rPr>
        <w:t xml:space="preserve">google.groups = assertion.groups</w:t>
      </w:r>
      <w:r>
        <w:rPr>
          <w:rFonts w:ascii="Arial" w:cs="Arial" w:eastAsia="Arial" w:hAnsi="Arial"/>
          <w:color w:val="1E293B"/>
          <w:sz w:val="21"/>
          <w:szCs w:val="21"/>
        </w:rPr>
        <w:t xml:space="preserve">, user calls fail with </w:t>
      </w:r>
      <w:r>
        <w:rPr>
          <w:rFonts w:ascii="Consolas" w:cs="Consolas" w:eastAsia="Consolas" w:hAnsi="Consolas"/>
          <w:color w:val="0F172A"/>
          <w:sz w:val="19"/>
          <w:szCs w:val="19"/>
          <w:shd w:fill="F1F5F9"/>
        </w:rPr>
        <w:t xml:space="preserve">HTTP 403: Permission discoveryengine.notebooks.list denied</w:t>
      </w:r>
      <w:r>
        <w:rPr>
          <w:rFonts w:ascii="Arial" w:cs="Arial" w:eastAsia="Arial" w:hAnsi="Arial"/>
          <w:color w:val="1E293B"/>
          <w:sz w:val="21"/>
          <w:szCs w:val="21"/>
        </w:rPr>
        <w:t xml:space="preserve">. SAML </w:t>
      </w:r>
      <w:r>
        <w:rPr>
          <w:rFonts w:ascii="Consolas" w:cs="Consolas" w:eastAsia="Consolas" w:hAnsi="Consolas"/>
          <w:color w:val="0F172A"/>
          <w:sz w:val="19"/>
          <w:szCs w:val="19"/>
          <w:shd w:fill="F1F5F9"/>
        </w:rPr>
        <w:t xml:space="preserve">assertion.subject.lowerAscii()</w:t>
      </w:r>
      <w:r>
        <w:rPr>
          <w:rFonts w:ascii="Arial" w:cs="Arial" w:eastAsia="Arial" w:hAnsi="Arial"/>
          <w:color w:val="1E293B"/>
          <w:sz w:val="21"/>
          <w:szCs w:val="21"/>
        </w:rPr>
        <w:t xml:space="preserve"> and OIDC </w:t>
      </w:r>
      <w:r>
        <w:rPr>
          <w:rFonts w:ascii="Consolas" w:cs="Consolas" w:eastAsia="Consolas" w:hAnsi="Consolas"/>
          <w:color w:val="0F172A"/>
          <w:sz w:val="19"/>
          <w:szCs w:val="19"/>
          <w:shd w:fill="F1F5F9"/>
        </w:rPr>
        <w:t xml:space="preserve">assertion.email.lowerAscii()</w:t>
      </w:r>
      <w:r>
        <w:rPr>
          <w:rFonts w:ascii="Arial" w:cs="Arial" w:eastAsia="Arial" w:hAnsi="Arial"/>
          <w:color w:val="1E293B"/>
          <w:sz w:val="21"/>
          <w:szCs w:val="21"/>
        </w:rPr>
        <w:t xml:space="preserve"> are semantically equivalent.</w:t>
      </w:r>
    </w:p>
    <w:p>
      <w:pPr>
        <w:pStyle w:val="ListParagraph"/>
        <w:numPr>
          <w:ilvl w:val="0"/>
          <w:numId w:val="1"/>
        </w:numPr>
        <w:spacing w:after="60" w:line="260"/>
      </w:pPr>
      <w:r>
        <w:rPr>
          <w:rFonts w:ascii="Arial" w:cs="Arial" w:eastAsia="Arial" w:hAnsi="Arial"/>
          <w:b/>
          <w:bCs/>
          <w:color w:val="0F172A"/>
          <w:sz w:val="21"/>
          <w:szCs w:val="21"/>
        </w:rPr>
        <w:t xml:space="preserve">Automated GE App Workforce Discovery</w:t>
      </w:r>
      <w:r>
        <w:rPr>
          <w:rFonts w:ascii="Arial" w:cs="Arial" w:eastAsia="Arial" w:hAnsi="Arial"/>
          <w:color w:val="1E293B"/>
          <w:sz w:val="21"/>
          <w:szCs w:val="21"/>
        </w:rPr>
        <w:t xml:space="preserve">: The Wizard automatically inspects Discovery Engine </w:t>
      </w:r>
      <w:r>
        <w:rPr>
          <w:rFonts w:ascii="Consolas" w:cs="Consolas" w:eastAsia="Consolas" w:hAnsi="Consolas"/>
          <w:color w:val="0F172A"/>
          <w:sz w:val="19"/>
          <w:szCs w:val="19"/>
          <w:shd w:fill="F1F5F9"/>
        </w:rPr>
        <w:t xml:space="preserve">aclConfig</w:t>
      </w:r>
      <w:r>
        <w:rPr>
          <w:rFonts w:ascii="Arial" w:cs="Arial" w:eastAsia="Arial" w:hAnsi="Arial"/>
          <w:color w:val="1E293B"/>
          <w:sz w:val="21"/>
          <w:szCs w:val="21"/>
        </w:rPr>
        <w:t xml:space="preserve"> and project IAM policies to detect production pools, discover group bindings, and auto-align the </w:t>
      </w:r>
      <w:r>
        <w:rPr>
          <w:rFonts w:ascii="Consolas" w:cs="Consolas" w:eastAsia="Consolas" w:hAnsi="Consolas"/>
          <w:color w:val="0F172A"/>
          <w:sz w:val="19"/>
          <w:szCs w:val="19"/>
          <w:shd w:fill="F1F5F9"/>
        </w:rPr>
        <w:t xml:space="preserve">--attribute-mapping</w:t>
      </w:r>
      <w:r>
        <w:rPr>
          <w:rFonts w:ascii="Arial" w:cs="Arial" w:eastAsia="Arial" w:hAnsi="Arial"/>
          <w:color w:val="1E293B"/>
          <w:sz w:val="21"/>
          <w:szCs w:val="21"/>
        </w:rPr>
        <w:t xml:space="preserve"> string via 1-click </w:t>
      </w:r>
      <w:r>
        <w:rPr>
          <w:rFonts w:ascii="Consolas" w:cs="Consolas" w:eastAsia="Consolas" w:hAnsi="Consolas"/>
          <w:color w:val="0F172A"/>
          <w:sz w:val="19"/>
          <w:szCs w:val="19"/>
          <w:shd w:fill="F1F5F9"/>
        </w:rPr>
        <w:t xml:space="preserve">update-oidc</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Stateless Federation &amp; Wildcard IAM Pool Bindings</w:t>
      </w:r>
      <w:r>
        <w:rPr>
          <w:rFonts w:ascii="Arial" w:cs="Arial" w:eastAsia="Arial" w:hAnsi="Arial"/>
          <w:color w:val="1E293B"/>
          <w:sz w:val="21"/>
          <w:szCs w:val="21"/>
        </w:rPr>
        <w:t xml:space="preserve">: GCP STS validates the RSA JWKS locally without contacting Okta/Entra. In sandbox projects with pool-wide wildcard IAM bindings (</w:t>
      </w:r>
      <w:r>
        <w:rPr>
          <w:rFonts w:ascii="Consolas" w:cs="Consolas" w:eastAsia="Consolas" w:hAnsi="Consolas"/>
          <w:color w:val="0F172A"/>
          <w:sz w:val="19"/>
          <w:szCs w:val="19"/>
          <w:shd w:fill="F1F5F9"/>
        </w:rPr>
        <w:t xml:space="preserve">workforcePools/&lt;POOL&gt;/*</w:t>
      </w:r>
      <w:r>
        <w:rPr>
          <w:rFonts w:ascii="Arial" w:cs="Arial" w:eastAsia="Arial" w:hAnsi="Arial"/>
          <w:color w:val="1E293B"/>
          <w:sz w:val="21"/>
          <w:szCs w:val="21"/>
        </w:rPr>
        <w:t xml:space="preserve">), any email returns 200 OK with 0 notebooks. Step 4 displays an amber warning when 0 notebooks are returned to remind operators to test a user who owns &gt;= 1 notebook.</w:t>
      </w:r>
    </w:p>
    <w:p>
      <w:pPr>
        <w:pStyle w:val="ListParagraph"/>
        <w:numPr>
          <w:ilvl w:val="0"/>
          <w:numId w:val="1"/>
        </w:numPr>
        <w:spacing w:after="60" w:line="260"/>
      </w:pPr>
      <w:r>
        <w:rPr>
          <w:rFonts w:ascii="Arial" w:cs="Arial" w:eastAsia="Arial" w:hAnsi="Arial"/>
          <w:b/>
          <w:bCs/>
          <w:color w:val="0F172A"/>
          <w:sz w:val="21"/>
          <w:szCs w:val="21"/>
        </w:rPr>
        <w:t xml:space="preserve">3-Stage End-to-End Live Verification</w:t>
      </w:r>
      <w:r>
        <w:rPr>
          <w:rFonts w:ascii="Arial" w:cs="Arial" w:eastAsia="Arial" w:hAnsi="Arial"/>
          <w:color w:val="1E293B"/>
          <w:sz w:val="21"/>
          <w:szCs w:val="21"/>
        </w:rPr>
        <w:t xml:space="preserve">: Step 4 tests (1) STS Token Minting, (2) Subject Mapping Parity, and (3) Live User Notebooks API Probe (</w:t>
      </w:r>
      <w:r>
        <w:rPr>
          <w:rFonts w:ascii="Consolas" w:cs="Consolas" w:eastAsia="Consolas" w:hAnsi="Consolas"/>
          <w:color w:val="0F172A"/>
          <w:sz w:val="19"/>
          <w:szCs w:val="19"/>
          <w:shd w:fill="F1F5F9"/>
        </w:rPr>
        <w:t xml:space="preserve">discoveryengine.notebooks.list</w:t>
      </w:r>
      <w:r>
        <w:rPr>
          <w:rFonts w:ascii="Arial" w:cs="Arial" w:eastAsia="Arial" w:hAnsi="Arial"/>
          <w:color w:val="1E293B"/>
          <w:sz w:val="21"/>
          <w:szCs w:val="21"/>
        </w:rPr>
        <w:t xml:space="preserve">) as the target user.</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pStyle w:val="Heading2"/>
        <w:spacing w:after="120" w:before="280"/>
      </w:pPr>
      <w:r>
        <w:t xml:space="preserve">9.4 Troubleshooting Guide &amp; Enterprise Error Remediations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Error / Symptom</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Permission discoveryengine.notebooks.list denied (HTTP 403)</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Mismatched google.subject (missing .lowerAscii()), missing google.groups claim, or user lacks roles/discoveryengine.user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1. Align provider: gcloud iam workforce-pools providers update-oidc migration-dwd-provider --attribute-mapping="google.subject=assertion.email.lowerAscii(),google.groups=assertion.groups,attribute.user_email=assertion.email". 2. Grant roles/discoveryengine.user and serviceusage.serviceUsageConsumer.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WorkforceSubjectMappingMismatch</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Pool contains multiple providers with differing subject CEL expressions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Update migration-dwd-provider to match the canonical lowercase email format (assertion.email.lowerAscii()). The validator treats OIDC and SAML lowercase email mappings as semantically aligned.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issuer in ID Token does not match...</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Configuration points to an interactive production provider instead of headless migration-dwd-provider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Select Migration DWD preset in Auth Wizard, or set providerId to migration-dwd-provider and issuer to https://gemini-migration.internal.</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USER_PROJECT_DENIED / serviceusage</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 principal or SA not authorized on quota project</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Grant roles/serviceusage.serviceUsageConsumer to the workforce principal or pool.</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user does not exist in Google Workspace directory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admin.google.com, or configure Cross-IdP transformation rules in Step 3.</w:t>
            </w:r>
          </w:p>
        </w:tc>
      </w:tr>
    </w:tbl>
    <w:p>
      <w:pPr>
        <w:spacing w:after="160"/>
      </w:pP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2026-09-21T16:23:38.206Z</dcterms:created>
  <dcterms:modified xsi:type="dcterms:W3CDTF">2026-09-21T16:23:38.206Z</dcterms:modified>
</cp:coreProperties>
</file>

<file path=docProps/custom.xml><?xml version="1.0" encoding="utf-8"?>
<Properties xmlns="http://schemas.openxmlformats.org/officeDocument/2006/custom-properties" xmlns:vt="http://schemas.openxmlformats.org/officeDocument/2006/docPropsVTypes"/>
</file>