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w:t>
      </w:r>
    </w:p>
    <w:p>
      <w:pPr>
        <w:spacing w:after="120" w:line="276"/>
      </w:pPr>
      <w:r>
        <w:rPr>
          <w:rFonts w:ascii="Arial" w:cs="Arial" w:eastAsia="Arial" w:hAnsi="Arial"/>
          <w:color w:val="1E293B"/>
          <w:sz w:val="21"/>
          <w:szCs w:val="21"/>
        </w:rPr>
        <w:t xml:space="preserve">Before executing a migration run, administrators should execute a Configuration Pre-Check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spacing w:after="120" w:line="276"/>
      </w:pPr>
      <w:r>
        <w:rPr>
          <w:rFonts w:ascii="Arial" w:cs="Arial" w:eastAsia="Arial" w:hAnsi="Arial"/>
          <w:color w:val="1E293B"/>
          <w:sz w:val="21"/>
          <w:szCs w:val="21"/>
        </w:rPr>
        <w:t xml:space="preserve">Navigate to the </w:t>
      </w:r>
      <w:r>
        <w:rPr>
          <w:rFonts w:ascii="Arial" w:cs="Arial" w:eastAsia="Arial" w:hAnsi="Arial"/>
          <w:b/>
          <w:bCs/>
          <w:color w:val="0F172A"/>
          <w:sz w:val="21"/>
          <w:szCs w:val="21"/>
        </w:rPr>
        <w:t xml:space="preserve">Config Pre-Check &amp; Gaps</w:t>
      </w:r>
      <w:r>
        <w:rPr>
          <w:rFonts w:ascii="Arial" w:cs="Arial" w:eastAsia="Arial" w:hAnsi="Arial"/>
          <w:color w:val="1E293B"/>
          <w:sz w:val="21"/>
          <w:szCs w:val="21"/>
        </w:rPr>
        <w:t xml:space="preserve"> tab on the left navigation bar and click </w:t>
      </w:r>
      <w:r>
        <w:rPr>
          <w:rFonts w:ascii="Arial" w:cs="Arial" w:eastAsia="Arial" w:hAnsi="Arial"/>
          <w:b/>
          <w:bCs/>
          <w:color w:val="0F172A"/>
          <w:sz w:val="21"/>
          <w:szCs w:val="21"/>
        </w:rPr>
        <w:t xml:space="preserve">Run Pre-Check</w:t>
      </w:r>
      <w:r>
        <w:rPr>
          <w:rFonts w:ascii="Arial" w:cs="Arial" w:eastAsia="Arial" w:hAnsi="Arial"/>
          <w:color w:val="1E293B"/>
          <w:sz w:val="21"/>
          <w:szCs w:val="21"/>
        </w:rPr>
        <w:t xml:space="preserve">. The system analyzes more than 100 configuration points and computes a </w:t>
      </w:r>
      <w:r>
        <w:rPr>
          <w:rFonts w:ascii="Arial" w:cs="Arial" w:eastAsia="Arial" w:hAnsi="Arial"/>
          <w:b/>
          <w:bCs/>
          <w:color w:val="0F172A"/>
          <w:sz w:val="21"/>
          <w:szCs w:val="21"/>
        </w:rPr>
        <w:t xml:space="preserve">Parity Readiness Score</w:t>
      </w:r>
      <w:r>
        <w:rPr>
          <w:rFonts w:ascii="Arial" w:cs="Arial" w:eastAsia="Arial" w:hAnsi="Arial"/>
          <w:color w:val="1E293B"/>
          <w:sz w:val="21"/>
          <w:szCs w:val="21"/>
        </w:rPr>
        <w:t xml:space="preserve"> (0–100%).</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tab, specify the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ancient-sandbox-test-1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Run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Simulate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Deep Dive: Asset Preservation &amp; Studio Parity</w:t>
      </w:r>
    </w:p>
    <w:p>
      <w:pPr>
        <w:spacing w:after="120" w:line="276"/>
      </w:pPr>
      <w:r>
        <w:rPr>
          <w:rFonts w:ascii="Arial" w:cs="Arial" w:eastAsia="Arial" w:hAnsi="Arial"/>
          <w:color w:val="1E293B"/>
          <w:sz w:val="21"/>
          <w:szCs w:val="21"/>
        </w:rPr>
        <w:t xml:space="preserve">A central achievement of v1.4.0 is authentic fidelity and export parity for all Gemini Enterprise Studio outputs:</w:t>
      </w:r>
    </w:p>
    <w:p>
      <w:pPr>
        <w:pStyle w:val="Heading2"/>
        <w:spacing w:after="120" w:before="280"/>
      </w:pPr>
      <w:r>
        <w:t xml:space="preserve">A. PowerPoint Presentations (.pptx)</w:t>
      </w:r>
    </w:p>
    <w:p>
      <w:pPr>
        <w:spacing w:after="120" w:line="276"/>
      </w:pPr>
      <w:r>
        <w:rPr>
          <w:rFonts w:ascii="Arial" w:cs="Arial" w:eastAsia="Arial" w:hAnsi="Arial"/>
          <w:color w:val="1E293B"/>
          <w:sz w:val="21"/>
          <w:szCs w:val="21"/>
        </w:rPr>
        <w:t xml:space="preserve">Generated slide decks are exported directly into native Microsoft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format with 16:9 widescreen layouts, card container geometry, bullet hierarchy, and presenter notes matching authentic Google Slides and PowerPoint standards.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Gemini Enterprise Studio Presentation &amp; Slide Deck Export Options</w:t>
      </w:r>
    </w:p>
    <w:p>
      <w:pPr>
        <w:pStyle w:val="Heading2"/>
        <w:spacing w:after="120" w:before="280"/>
      </w:pPr>
      <w:r>
        <w:t xml:space="preserve">B. Restored Research Notebooks &amp; Infographics</w:t>
      </w:r>
    </w:p>
    <w:p>
      <w:pPr>
        <w:spacing w:after="120" w:line="276"/>
      </w:pPr>
      <w:r>
        <w:rPr>
          <w:rFonts w:ascii="Arial" w:cs="Arial" w:eastAsia="Arial" w:hAnsi="Arial"/>
          <w:color w:val="1E293B"/>
          <w:sz w:val="21"/>
          <w:szCs w:val="21"/>
        </w:rPr>
        <w:t xml:space="preserve">Restored notebooks preserve all research grounding documents and display infographics directly inside the Studio view.</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Restored Gemini Enterprise Notebook with Studio Infographic</w:t>
      </w:r>
    </w:p>
    <w:p>
      <w:pPr>
        <w:pStyle w:val="Heading2"/>
        <w:spacing w:after="120" w:before="280"/>
      </w:pPr>
      <w:r>
        <w:t xml:space="preserve">C. Studio Artifacts Hub &amp; Offline Interactive Applications</w:t>
      </w:r>
    </w:p>
    <w:p>
      <w:pPr>
        <w:spacing w:after="120" w:line="276"/>
      </w:pPr>
      <w:r>
        <w:rPr>
          <w:rFonts w:ascii="Arial" w:cs="Arial" w:eastAsia="Arial" w:hAnsi="Arial"/>
          <w:color w:val="1E293B"/>
          <w:sz w:val="21"/>
          <w:szCs w:val="21"/>
        </w:rPr>
        <w:t xml:space="preserve">Studio artifacts (Audio Overviews, Slide Decks, Explainer Videos, Mind Maps, Quizzes, and Flashcards) are systematically cataloged. Quizzes and flashcards are synthesized into standalone HTML5 players with zero external dependencies and smooth 3D CSS animations.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Gemini Enterprise Studio Artifacts Hub</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Artifacts Gallery &amp; Media Inspection Console</w:t>
      </w:r>
    </w:p>
    <w:p>
      <w:pPr>
        <w:pStyle w:val="Heading1"/>
        <w:spacing w:after="140" w:before="360"/>
      </w:pPr>
      <w:r>
        <w:t xml:space="preserve">8. Migration Reports &amp; Reconciliation Auditing</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Full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Migration Report and User Reconciliation Matrix in Web Console</w:t>
      </w:r>
    </w:p>
    <w:p>
      <w:pPr>
        <w:pStyle w:val="Heading1"/>
        <w:spacing w:after="140" w:before="360"/>
      </w:pPr>
      <w:r>
        <w:t xml:space="preserve">9. User Handover Delivery &amp; Notification Engine</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2.10: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2.12: Handover Follow-Up Message with High-Resolution Deck</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2.13: User Handover &amp; Email Delivery Console Tab</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During testing or staged rollouts, administrators can use the </w:t>
      </w:r>
      <w:r>
        <w:rPr>
          <w:rFonts w:ascii="Arial" w:cs="Arial" w:eastAsia="Arial" w:hAnsi="Arial"/>
          <w:b/>
          <w:bCs/>
          <w:color w:val="0F172A"/>
          <w:sz w:val="21"/>
          <w:szCs w:val="21"/>
        </w:rPr>
        <w:t xml:space="preserve">Target Maintenance</w:t>
      </w:r>
      <w:r>
        <w:rPr>
          <w:rFonts w:ascii="Arial" w:cs="Arial" w:eastAsia="Arial" w:hAnsi="Arial"/>
          <w:color w:val="1E293B"/>
          <w:sz w:val="21"/>
          <w:szCs w:val="21"/>
        </w:rPr>
        <w:t xml:space="preserve"> tab to selectively clean migrated assets in the target environment prior to fresh migration runs.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2.14: Target Maintenance Console &amp; Selective Rollback Controls</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71f5374c766fc42165e1ccdbaa107efc1657ea4c.png"/><Relationship Id="rId14" Type="http://schemas.openxmlformats.org/officeDocument/2006/relationships/image" Target="media/4b5b0ac99f5af82b2852a172c395a63de3b2f88c.png"/><Relationship Id="rId15" Type="http://schemas.openxmlformats.org/officeDocument/2006/relationships/image" Target="media/b5e63ed1a36a8ab207591eed617a422defb403eb.png"/><Relationship Id="rId16" Type="http://schemas.openxmlformats.org/officeDocument/2006/relationships/image" Target="media/ce65b9e9b3febc127739dd259fa110f92fa122e4.png"/><Relationship Id="rId17" Type="http://schemas.openxmlformats.org/officeDocument/2006/relationships/image" Target="media/c09fbfcd8bb0da3c855b7750124a5f7b1fde4e36.png"/><Relationship Id="rId18" Type="http://schemas.openxmlformats.org/officeDocument/2006/relationships/image" Target="media/bc39fe155035f8ec4e94c5c0197368b6c227f7fb.png"/><Relationship Id="rId19" Type="http://schemas.openxmlformats.org/officeDocument/2006/relationships/image" Target="media/a2535ce2694b1d9bd14484a0c05d5d1f1002a983.png"/><Relationship Id="rId20" Type="http://schemas.openxmlformats.org/officeDocument/2006/relationships/image" Target="media/262f30b5d1652caea467ed22ada4d3ff94af7c7c.png"/><Relationship Id="rId21" Type="http://schemas.openxmlformats.org/officeDocument/2006/relationships/image" Target="media/346625f76f156e014be82bda5ffdb7f966bd6b4a.png"/><Relationship Id="rId22" Type="http://schemas.openxmlformats.org/officeDocument/2006/relationships/image" Target="media/2c42efabae59ea5c0e10aecb3c7c61b8fd93827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2026-09-04T14:06:12.481Z</dcterms:created>
  <dcterms:modified xsi:type="dcterms:W3CDTF">2026-09-04T14:06:12.481Z</dcterms:modified>
</cp:coreProperties>
</file>

<file path=docProps/custom.xml><?xml version="1.0" encoding="utf-8"?>
<Properties xmlns="http://schemas.openxmlformats.org/officeDocument/2006/custom-properties" xmlns:vt="http://schemas.openxmlformats.org/officeDocument/2006/docPropsVTypes"/>
</file>