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1A73E8" w:sz="36" w:space="1"/>
        </w:pBdr>
        <w:spacing w:after="180" w:before="100"/>
      </w:pPr>
    </w:p>
    <w:p>
      <w:pPr>
        <w:pStyle w:val="Title"/>
        <w:spacing w:after="120"/>
      </w:pPr>
      <w:r>
        <w:t xml:space="preserve">Gemini Enterprise Admin Migration Platform</w:t>
      </w:r>
    </w:p>
    <w:p>
      <w:pPr>
        <w:spacing w:after="240"/>
      </w:pPr>
      <w:r>
        <w:rPr>
          <w:rFonts w:ascii="Arial" w:cs="Arial" w:eastAsia="Arial" w:hAnsi="Arial"/>
          <w:i/>
          <w:iCs/>
          <w:color w:val="475569"/>
          <w:sz w:val="24"/>
          <w:szCs w:val="24"/>
        </w:rPr>
        <w:t xml:space="preserve">Installation, Environment Setup &amp; Pre-Requisites Technical Guide</w:t>
      </w:r>
    </w:p>
    <w:tbl>
      <w:tblPr>
        <w:tblW w:type="pct" w:w="5000"/>
        <w:tblBorders>
          <w:top w:val="single" w:color="CBD5E1" w:sz="1"/>
          <w:left w:val="single" w:color="CBD5E1" w:sz="1"/>
          <w:bottom w:val="single" w:color="CBD5E1" w:sz="1"/>
          <w:right w:val="single" w:color="CBD5E1" w:sz="1"/>
          <w:insideH w:val="single" w:color="E2E8F0" w:sz="1"/>
          <w:insideV w:val="single" w:color="E2E8F0" w:sz="1"/>
        </w:tblBorders>
      </w:tblPr>
      <w:tblGrid>
        <w:gridCol w:w="2708"/>
        <w:gridCol w:w="6318"/>
      </w:tblGrid>
      <w:tr>
        <w:tc>
          <w:tcPr>
            <w:tcW w:type="pct" w:w="1500"/>
            <w:shd w:fill="F1F5F9" w:val="clear"/>
            <w:tcMar>
              <w:top w:type="dxa" w:w="80"/>
              <w:left w:type="dxa" w:w="140"/>
              <w:bottom w:type="dxa" w:w="80"/>
              <w:right w:type="dxa" w:w="140"/>
            </w:tcMar>
          </w:tcPr>
          <w:p>
            <w:r>
              <w:rPr>
                <w:rFonts w:ascii="Arial" w:cs="Arial" w:eastAsia="Arial" w:hAnsi="Arial"/>
                <w:b/>
                <w:bCs/>
                <w:color w:val="0F172A"/>
                <w:sz w:val="19"/>
                <w:szCs w:val="19"/>
              </w:rPr>
              <w:t xml:space="preserve">Document Version</w:t>
            </w:r>
          </w:p>
        </w:tc>
        <w:tc>
          <w:tcPr>
            <w:tcW w:type="pct" w:w="3500"/>
            <w:shd w:fill="FFFFFF" w:val="clear"/>
            <w:tcMar>
              <w:top w:type="dxa" w:w="80"/>
              <w:left w:type="dxa" w:w="140"/>
              <w:bottom w:type="dxa" w:w="80"/>
              <w:right w:type="dxa" w:w="140"/>
            </w:tcMar>
          </w:tcPr>
          <w:p>
            <w:r>
              <w:rPr>
                <w:rFonts w:ascii="Arial" w:cs="Arial" w:eastAsia="Arial" w:hAnsi="Arial"/>
                <w:color w:val="334155"/>
                <w:sz w:val="19"/>
                <w:szCs w:val="19"/>
              </w:rPr>
              <w:t xml:space="preserve">v1.8.0 (Enterprise Release)</w:t>
            </w:r>
          </w:p>
        </w:tc>
      </w:tr>
      <w:tr>
        <w:tc>
          <w:tcPr>
            <w:tcW w:type="pct" w:w="1500"/>
            <w:shd w:fill="F1F5F9" w:val="clear"/>
            <w:tcMar>
              <w:top w:type="dxa" w:w="80"/>
              <w:left w:type="dxa" w:w="140"/>
              <w:bottom w:type="dxa" w:w="80"/>
              <w:right w:type="dxa" w:w="140"/>
            </w:tcMar>
          </w:tcPr>
          <w:p>
            <w:r>
              <w:rPr>
                <w:rFonts w:ascii="Arial" w:cs="Arial" w:eastAsia="Arial" w:hAnsi="Arial"/>
                <w:b/>
                <w:bCs/>
                <w:color w:val="0F172A"/>
                <w:sz w:val="19"/>
                <w:szCs w:val="19"/>
              </w:rPr>
              <w:t xml:space="preserve">Classification</w:t>
            </w:r>
          </w:p>
        </w:tc>
        <w:tc>
          <w:tcPr>
            <w:tcW w:type="pct" w:w="3500"/>
            <w:shd w:fill="FFFFFF" w:val="clear"/>
            <w:tcMar>
              <w:top w:type="dxa" w:w="80"/>
              <w:left w:type="dxa" w:w="140"/>
              <w:bottom w:type="dxa" w:w="80"/>
              <w:right w:type="dxa" w:w="140"/>
            </w:tcMar>
          </w:tcPr>
          <w:p>
            <w:r>
              <w:rPr>
                <w:rFonts w:ascii="Arial" w:cs="Arial" w:eastAsia="Arial" w:hAnsi="Arial"/>
                <w:color w:val="334155"/>
                <w:sz w:val="19"/>
                <w:szCs w:val="19"/>
              </w:rPr>
              <w:t xml:space="preserve">Google Cloud Enterprise / Administrative</w:t>
            </w:r>
          </w:p>
        </w:tc>
      </w:tr>
      <w:tr>
        <w:tc>
          <w:tcPr>
            <w:tcW w:type="pct" w:w="1500"/>
            <w:shd w:fill="F1F5F9" w:val="clear"/>
            <w:tcMar>
              <w:top w:type="dxa" w:w="80"/>
              <w:left w:type="dxa" w:w="140"/>
              <w:bottom w:type="dxa" w:w="80"/>
              <w:right w:type="dxa" w:w="140"/>
            </w:tcMar>
          </w:tcPr>
          <w:p>
            <w:r>
              <w:rPr>
                <w:rFonts w:ascii="Arial" w:cs="Arial" w:eastAsia="Arial" w:hAnsi="Arial"/>
                <w:b/>
                <w:bCs/>
                <w:color w:val="0F172A"/>
                <w:sz w:val="19"/>
                <w:szCs w:val="19"/>
              </w:rPr>
              <w:t xml:space="preserve">Target Platform</w:t>
            </w:r>
          </w:p>
        </w:tc>
        <w:tc>
          <w:tcPr>
            <w:tcW w:type="pct" w:w="3500"/>
            <w:shd w:fill="FFFFFF" w:val="clear"/>
            <w:tcMar>
              <w:top w:type="dxa" w:w="80"/>
              <w:left w:type="dxa" w:w="140"/>
              <w:bottom w:type="dxa" w:w="80"/>
              <w:right w:type="dxa" w:w="140"/>
            </w:tcMar>
          </w:tcPr>
          <w:p>
            <w:r>
              <w:rPr>
                <w:rFonts w:ascii="Arial" w:cs="Arial" w:eastAsia="Arial" w:hAnsi="Arial"/>
                <w:color w:val="334155"/>
                <w:sz w:val="19"/>
                <w:szCs w:val="19"/>
              </w:rPr>
              <w:t xml:space="preserve">Google Cloud Discovery Engine &amp; Gemini Enterprise</w:t>
            </w:r>
          </w:p>
        </w:tc>
      </w:tr>
      <w:tr>
        <w:tc>
          <w:tcPr>
            <w:tcW w:type="pct" w:w="1500"/>
            <w:shd w:fill="F1F5F9" w:val="clear"/>
            <w:tcMar>
              <w:top w:type="dxa" w:w="80"/>
              <w:left w:type="dxa" w:w="140"/>
              <w:bottom w:type="dxa" w:w="80"/>
              <w:right w:type="dxa" w:w="140"/>
            </w:tcMar>
          </w:tcPr>
          <w:p>
            <w:r>
              <w:rPr>
                <w:rFonts w:ascii="Arial" w:cs="Arial" w:eastAsia="Arial" w:hAnsi="Arial"/>
                <w:b/>
                <w:bCs/>
                <w:color w:val="0F172A"/>
                <w:sz w:val="19"/>
                <w:szCs w:val="19"/>
              </w:rPr>
              <w:t xml:space="preserve">Execution Profile</w:t>
            </w:r>
          </w:p>
        </w:tc>
        <w:tc>
          <w:tcPr>
            <w:tcW w:type="pct" w:w="3500"/>
            <w:shd w:fill="FFFFFF" w:val="clear"/>
            <w:tcMar>
              <w:top w:type="dxa" w:w="80"/>
              <w:left w:type="dxa" w:w="140"/>
              <w:bottom w:type="dxa" w:w="80"/>
              <w:right w:type="dxa" w:w="140"/>
            </w:tcMar>
          </w:tcPr>
          <w:p>
            <w:r>
              <w:rPr>
                <w:rFonts w:ascii="Arial" w:cs="Arial" w:eastAsia="Arial" w:hAnsi="Arial"/>
                <w:color w:val="334155"/>
                <w:sz w:val="19"/>
                <w:szCs w:val="19"/>
              </w:rPr>
              <w:t xml:space="preserve">Headless CLI &amp; Local Workstation Web Console (127.0.0.1:8080)</w:t>
            </w:r>
          </w:p>
        </w:tc>
      </w:tr>
      <w:tr>
        <w:tc>
          <w:tcPr>
            <w:tcW w:type="pct" w:w="1500"/>
            <w:shd w:fill="F1F5F9" w:val="clear"/>
            <w:tcMar>
              <w:top w:type="dxa" w:w="80"/>
              <w:left w:type="dxa" w:w="140"/>
              <w:bottom w:type="dxa" w:w="80"/>
              <w:right w:type="dxa" w:w="140"/>
            </w:tcMar>
          </w:tcPr>
          <w:p>
            <w:r>
              <w:rPr>
                <w:rFonts w:ascii="Arial" w:cs="Arial" w:eastAsia="Arial" w:hAnsi="Arial"/>
                <w:b/>
                <w:bCs/>
                <w:color w:val="0F172A"/>
                <w:sz w:val="19"/>
                <w:szCs w:val="19"/>
              </w:rPr>
              <w:t xml:space="preserve">Auth Protocols</w:t>
            </w:r>
          </w:p>
        </w:tc>
        <w:tc>
          <w:tcPr>
            <w:tcW w:type="pct" w:w="3500"/>
            <w:shd w:fill="FFFFFF" w:val="clear"/>
            <w:tcMar>
              <w:top w:type="dxa" w:w="80"/>
              <w:left w:type="dxa" w:w="140"/>
              <w:bottom w:type="dxa" w:w="80"/>
              <w:right w:type="dxa" w:w="140"/>
            </w:tcMar>
          </w:tcPr>
          <w:p>
            <w:r>
              <w:rPr>
                <w:rFonts w:ascii="Arial" w:cs="Arial" w:eastAsia="Arial" w:hAnsi="Arial"/>
                <w:color w:val="334155"/>
                <w:sz w:val="19"/>
                <w:szCs w:val="19"/>
              </w:rPr>
              <w:t xml:space="preserve">Google Workspace DWD (OAuth2) &amp; Microsoft Entra ID WiF (STS)</w:t>
            </w:r>
          </w:p>
        </w:tc>
      </w:tr>
    </w:tbl>
    <w:p>
      <w:pPr>
        <w:pBdr>
          <w:bottom w:val="single" w:color="E2E8F0" w:sz="6" w:space="100"/>
        </w:pBdr>
        <w:spacing w:after="280" w:before="240"/>
      </w:pPr>
    </w:p>
    <w:p>
      <w:pPr>
        <w:pStyle w:val="Heading1"/>
        <w:spacing w:after="140" w:before="360"/>
      </w:pPr>
      <w:r>
        <w:t xml:space="preserve">1. Overview &amp; Security Architecture</w:t>
      </w:r>
    </w:p>
    <w:p>
      <w:pPr>
        <w:spacing w:after="120" w:line="276"/>
      </w:pPr>
      <w:r>
        <w:rPr>
          <w:rFonts w:ascii="Arial" w:cs="Arial" w:eastAsia="Arial" w:hAnsi="Arial"/>
          <w:color w:val="1E293B"/>
          <w:sz w:val="21"/>
          <w:szCs w:val="21"/>
        </w:rPr>
        <w:t xml:space="preserve">The </w:t>
      </w:r>
      <w:r>
        <w:rPr>
          <w:rFonts w:ascii="Arial" w:cs="Arial" w:eastAsia="Arial" w:hAnsi="Arial"/>
          <w:b/>
          <w:bCs/>
          <w:color w:val="0F172A"/>
          <w:sz w:val="21"/>
          <w:szCs w:val="21"/>
        </w:rPr>
        <w:t xml:space="preserve">Gemini Enterprise Admin Migration Platform</w:t>
      </w:r>
      <w:r>
        <w:rPr>
          <w:rFonts w:ascii="Arial" w:cs="Arial" w:eastAsia="Arial" w:hAnsi="Arial"/>
          <w:color w:val="1E293B"/>
          <w:sz w:val="21"/>
          <w:szCs w:val="21"/>
        </w:rPr>
        <w:t xml:space="preserve"> (</w:t>
      </w:r>
      <w:r>
        <w:rPr>
          <w:rFonts w:ascii="Consolas" w:cs="Consolas" w:eastAsia="Consolas" w:hAnsi="Consolas"/>
          <w:color w:val="0F172A"/>
          <w:sz w:val="19"/>
          <w:szCs w:val="19"/>
          <w:shd w:fill="F1F5F9" w:val="clear"/>
        </w:rPr>
        <w:t xml:space="preserve">gemini-migrate</w:t>
      </w:r>
      <w:r>
        <w:rPr>
          <w:rFonts w:ascii="Arial" w:cs="Arial" w:eastAsia="Arial" w:hAnsi="Arial"/>
          <w:color w:val="1E293B"/>
          <w:sz w:val="21"/>
          <w:szCs w:val="21"/>
        </w:rPr>
        <w:t xml:space="preserve">) is a purpose-built, high-throughput enterprise migration solution designed to transfer Gemini Enterprise and Google Cloud Discovery Engine assets across Google Cloud projects, geographic regions, and Identity Providers on behalf of enterprise end users.</w:t>
      </w:r>
    </w:p>
    <w:p>
      <w:pPr>
        <w:spacing w:after="120" w:line="276"/>
      </w:pPr>
      <w:r>
        <w:rPr>
          <w:rFonts w:ascii="Arial" w:cs="Arial" w:eastAsia="Arial" w:hAnsi="Arial"/>
          <w:color w:val="1E293B"/>
          <w:sz w:val="21"/>
          <w:szCs w:val="21"/>
        </w:rPr>
        <w:t xml:space="preserve">The platform migrates </w:t>
      </w:r>
      <w:r>
        <w:rPr>
          <w:rFonts w:ascii="Arial" w:cs="Arial" w:eastAsia="Arial" w:hAnsi="Arial"/>
          <w:b/>
          <w:bCs/>
          <w:color w:val="0F172A"/>
          <w:sz w:val="21"/>
          <w:szCs w:val="21"/>
        </w:rPr>
        <w:t xml:space="preserve">Research Notebooks</w:t>
      </w:r>
      <w:r>
        <w:rPr>
          <w:rFonts w:ascii="Arial" w:cs="Arial" w:eastAsia="Arial" w:hAnsi="Arial"/>
          <w:color w:val="1E293B"/>
          <w:sz w:val="21"/>
          <w:szCs w:val="21"/>
        </w:rPr>
        <w:t xml:space="preserve">, </w:t>
      </w:r>
      <w:r>
        <w:rPr>
          <w:rFonts w:ascii="Arial" w:cs="Arial" w:eastAsia="Arial" w:hAnsi="Arial"/>
          <w:b/>
          <w:bCs/>
          <w:color w:val="0F172A"/>
          <w:sz w:val="21"/>
          <w:szCs w:val="21"/>
        </w:rPr>
        <w:t xml:space="preserve">Granular Grounding Sources</w:t>
      </w:r>
      <w:r>
        <w:rPr>
          <w:rFonts w:ascii="Arial" w:cs="Arial" w:eastAsia="Arial" w:hAnsi="Arial"/>
          <w:color w:val="1E293B"/>
          <w:sz w:val="21"/>
          <w:szCs w:val="21"/>
        </w:rPr>
        <w:t xml:space="preserve"> (PDFs, Web URLs, YouTube videos, Google Drive docs), </w:t>
      </w:r>
      <w:r>
        <w:rPr>
          <w:rFonts w:ascii="Arial" w:cs="Arial" w:eastAsia="Arial" w:hAnsi="Arial"/>
          <w:b/>
          <w:bCs/>
          <w:color w:val="0F172A"/>
          <w:sz w:val="21"/>
          <w:szCs w:val="21"/>
        </w:rPr>
        <w:t xml:space="preserve">Custom Agents</w:t>
      </w:r>
      <w:r>
        <w:rPr>
          <w:rFonts w:ascii="Arial" w:cs="Arial" w:eastAsia="Arial" w:hAnsi="Arial"/>
          <w:color w:val="1E293B"/>
          <w:sz w:val="21"/>
          <w:szCs w:val="21"/>
        </w:rPr>
        <w:t xml:space="preserve"> (Low-Code and Workflow agents with dynamic </w:t>
      </w:r>
      <w:r>
        <w:rPr>
          <w:rFonts w:ascii="Consolas" w:cs="Consolas" w:eastAsia="Consolas" w:hAnsi="Consolas"/>
          <w:color w:val="0F172A"/>
          <w:sz w:val="19"/>
          <w:szCs w:val="19"/>
          <w:shd w:fill="F1F5F9" w:val="clear"/>
        </w:rPr>
        <w:t xml:space="preserve">_#####</w:t>
      </w:r>
      <w:r>
        <w:rPr>
          <w:rFonts w:ascii="Arial" w:cs="Arial" w:eastAsia="Arial" w:hAnsi="Arial"/>
          <w:color w:val="1E293B"/>
          <w:sz w:val="21"/>
          <w:szCs w:val="21"/>
        </w:rPr>
        <w:t xml:space="preserve"> Connector Auto-Mapping &amp; HITL validation), </w:t>
      </w:r>
      <w:r>
        <w:rPr>
          <w:rFonts w:ascii="Arial" w:cs="Arial" w:eastAsia="Arial" w:hAnsi="Arial"/>
          <w:b/>
          <w:bCs/>
          <w:color w:val="0F172A"/>
          <w:sz w:val="21"/>
          <w:szCs w:val="21"/>
        </w:rPr>
        <w:t xml:space="preserve">User-Created Skills in Agent Registry</w:t>
      </w:r>
      <w:r>
        <w:rPr>
          <w:rFonts w:ascii="Arial" w:cs="Arial" w:eastAsia="Arial" w:hAnsi="Arial"/>
          <w:color w:val="1E293B"/>
          <w:sz w:val="21"/>
          <w:szCs w:val="21"/>
        </w:rPr>
        <w:t xml:space="preserve"> (</w:t>
      </w:r>
      <w:r>
        <w:rPr>
          <w:rFonts w:ascii="Consolas" w:cs="Consolas" w:eastAsia="Consolas" w:hAnsi="Consolas"/>
          <w:color w:val="0F172A"/>
          <w:sz w:val="19"/>
          <w:szCs w:val="19"/>
          <w:shd w:fill="F1F5F9" w:val="clear"/>
        </w:rPr>
        <w:t xml:space="preserve">Experimental</w:t>
      </w:r>
      <w:r>
        <w:rPr>
          <w:rFonts w:ascii="Arial" w:cs="Arial" w:eastAsia="Arial" w:hAnsi="Arial"/>
          <w:color w:val="1E293B"/>
          <w:sz w:val="21"/>
          <w:szCs w:val="21"/>
        </w:rPr>
        <w:t xml:space="preserve"> — may not work for everyone), </w:t>
      </w:r>
      <w:r>
        <w:rPr>
          <w:rFonts w:ascii="Arial" w:cs="Arial" w:eastAsia="Arial" w:hAnsi="Arial"/>
          <w:b/>
          <w:bCs/>
          <w:color w:val="0F172A"/>
          <w:sz w:val="21"/>
          <w:szCs w:val="21"/>
        </w:rPr>
        <w:t xml:space="preserve">Multi-Turn Chat History</w:t>
      </w:r>
      <w:r>
        <w:rPr>
          <w:rFonts w:ascii="Arial" w:cs="Arial" w:eastAsia="Arial" w:hAnsi="Arial"/>
          <w:color w:val="1E293B"/>
          <w:sz w:val="21"/>
          <w:szCs w:val="21"/>
        </w:rPr>
        <w:t xml:space="preserve">, </w:t>
      </w:r>
      <w:r>
        <w:rPr>
          <w:rFonts w:ascii="Arial" w:cs="Arial" w:eastAsia="Arial" w:hAnsi="Arial"/>
          <w:b/>
          <w:bCs/>
          <w:color w:val="0F172A"/>
          <w:sz w:val="21"/>
          <w:szCs w:val="21"/>
        </w:rPr>
        <w:t xml:space="preserve">User Personalized Memories &amp; Facts</w:t>
      </w:r>
      <w:r>
        <w:rPr>
          <w:rFonts w:ascii="Arial" w:cs="Arial" w:eastAsia="Arial" w:hAnsi="Arial"/>
          <w:color w:val="1E293B"/>
          <w:sz w:val="21"/>
          <w:szCs w:val="21"/>
        </w:rPr>
        <w:t xml:space="preserve"> (</w:t>
      </w:r>
      <w:r>
        <w:rPr>
          <w:rFonts w:ascii="Consolas" w:cs="Consolas" w:eastAsia="Consolas" w:hAnsi="Consolas"/>
          <w:color w:val="0F172A"/>
          <w:sz w:val="19"/>
          <w:szCs w:val="19"/>
          <w:shd w:fill="F1F5F9" w:val="clear"/>
        </w:rPr>
        <w:t xml:space="preserve">Experimental</w:t>
      </w:r>
      <w:r>
        <w:rPr>
          <w:rFonts w:ascii="Arial" w:cs="Arial" w:eastAsia="Arial" w:hAnsi="Arial"/>
          <w:color w:val="1E293B"/>
          <w:sz w:val="21"/>
          <w:szCs w:val="21"/>
        </w:rPr>
        <w:t xml:space="preserve"> — may not work for everyone), </w:t>
      </w:r>
      <w:r>
        <w:rPr>
          <w:rFonts w:ascii="Arial" w:cs="Arial" w:eastAsia="Arial" w:hAnsi="Arial"/>
          <w:b/>
          <w:bCs/>
          <w:color w:val="0F172A"/>
          <w:sz w:val="21"/>
          <w:szCs w:val="21"/>
        </w:rPr>
        <w:t xml:space="preserve">Studio Artifacts</w:t>
      </w:r>
      <w:r>
        <w:rPr>
          <w:rFonts w:ascii="Arial" w:cs="Arial" w:eastAsia="Arial" w:hAnsi="Arial"/>
          <w:color w:val="1E293B"/>
          <w:sz w:val="21"/>
          <w:szCs w:val="21"/>
        </w:rPr>
        <w:t xml:space="preserve"> (Presentations, Infographics, Videos, Interactive Quizzes, and Flashcards), and </w:t>
      </w:r>
      <w:r>
        <w:rPr>
          <w:rFonts w:ascii="Arial" w:cs="Arial" w:eastAsia="Arial" w:hAnsi="Arial"/>
          <w:b/>
          <w:bCs/>
          <w:color w:val="0F172A"/>
          <w:sz w:val="21"/>
          <w:szCs w:val="21"/>
        </w:rPr>
        <w:t xml:space="preserve">Gemini Enterprise Projects</w:t>
      </w:r>
      <w:r>
        <w:rPr>
          <w:rFonts w:ascii="Arial" w:cs="Arial" w:eastAsia="Arial" w:hAnsi="Arial"/>
          <w:color w:val="1E293B"/>
          <w:sz w:val="21"/>
          <w:szCs w:val="21"/>
        </w:rPr>
        <w:t xml:space="preserve"> (</w:t>
      </w:r>
      <w:r>
        <w:rPr>
          <w:rFonts w:ascii="Consolas" w:cs="Consolas" w:eastAsia="Consolas" w:hAnsi="Consolas"/>
          <w:color w:val="0F172A"/>
          <w:sz w:val="19"/>
          <w:szCs w:val="19"/>
          <w:shd w:fill="F1F5F9" w:val="clear"/>
        </w:rPr>
        <w:t xml:space="preserve">WIP</w:t>
      </w:r>
      <w:r>
        <w:rPr>
          <w:rFonts w:ascii="Arial" w:cs="Arial" w:eastAsia="Arial" w:hAnsi="Arial"/>
          <w:color w:val="1E293B"/>
          <w:sz w:val="21"/>
          <w:szCs w:val="21"/>
        </w:rPr>
        <w:t xml:space="preserve">).</w:t>
      </w:r>
    </w:p>
    <w:p>
      <w:pPr>
        <w:pBdr>
          <w:left w:val="single" w:color="DC2626" w:sz="24" w:space="140"/>
        </w:pBdr>
        <w:shd w:fill="FEF2F2" w:val="clear"/>
        <w:spacing w:after="160" w:before="140"/>
        <w:ind w:left="400" w:right="200"/>
      </w:pPr>
      <w:r>
        <w:rPr>
          <w:rFonts w:ascii="Arial" w:cs="Arial" w:eastAsia="Arial" w:hAnsi="Arial"/>
          <w:b/>
          <w:bCs/>
          <w:color w:val="DC2626"/>
          <w:sz w:val="20"/>
          <w:szCs w:val="20"/>
        </w:rPr>
        <w:t xml:space="preserve">🚨 CRITICAL: </w:t>
      </w:r>
      <w:r>
        <w:rPr>
          <w:rFonts w:ascii="Arial" w:cs="Arial" w:eastAsia="Arial" w:hAnsi="Arial"/>
          <w:b/>
          <w:bCs/>
          <w:color w:val="0F172A"/>
          <w:sz w:val="20"/>
          <w:szCs w:val="20"/>
        </w:rPr>
        <w:t xml:space="preserve">Workstation-Local Security Isolation Model
</w:t>
      </w:r>
      <w:r>
        <w:rPr>
          <w:rFonts w:ascii="Arial" w:cs="Arial" w:eastAsia="Arial" w:hAnsi="Arial"/>
          <w:color w:val="1E293B"/>
          <w:sz w:val="21"/>
          <w:szCs w:val="21"/>
        </w:rPr>
        <w:t xml:space="preserve">To satisfy strict enterprise security and InfoSec audit requirements, the migration tool operates entirely within the administrator workstation boundary. No user data, prompt history, or private keys are transmitted to any third-party SaaS servers. All network calls are strictly restricted to official Google Cloud APIs.</w:t>
      </w:r>
    </w:p>
    <w:p>
      <w:pPr>
        <w:pStyle w:val="ListParagraph"/>
        <w:numPr>
          <w:ilvl w:val="0"/>
          <w:numId w:val="1"/>
        </w:numPr>
        <w:spacing w:after="60" w:line="260"/>
      </w:pPr>
      <w:r>
        <w:rPr>
          <w:rFonts w:ascii="Arial" w:cs="Arial" w:eastAsia="Arial" w:hAnsi="Arial"/>
          <w:b/>
          <w:bCs/>
          <w:color w:val="0F172A"/>
          <w:sz w:val="21"/>
          <w:szCs w:val="21"/>
        </w:rPr>
        <w:t xml:space="preserve">Localhost-Only Network Binding</w:t>
      </w:r>
      <w:r>
        <w:rPr>
          <w:rFonts w:ascii="Arial" w:cs="Arial" w:eastAsia="Arial" w:hAnsi="Arial"/>
          <w:color w:val="1E293B"/>
          <w:sz w:val="21"/>
          <w:szCs w:val="21"/>
        </w:rPr>
        <w:t xml:space="preserve">: The Web Console binds exclusively to </w:t>
      </w:r>
      <w:r>
        <w:rPr>
          <w:rFonts w:ascii="Consolas" w:cs="Consolas" w:eastAsia="Consolas" w:hAnsi="Consolas"/>
          <w:color w:val="0F172A"/>
          <w:sz w:val="19"/>
          <w:szCs w:val="19"/>
          <w:shd w:fill="F1F5F9" w:val="clear"/>
        </w:rPr>
        <w:t xml:space="preserve">127.0.0.1</w:t>
      </w:r>
      <w:r>
        <w:rPr>
          <w:rFonts w:ascii="Arial" w:cs="Arial" w:eastAsia="Arial" w:hAnsi="Arial"/>
          <w:color w:val="1E293B"/>
          <w:sz w:val="21"/>
          <w:szCs w:val="21"/>
        </w:rPr>
        <w:t xml:space="preserve"> (</w:t>
      </w:r>
      <w:r>
        <w:rPr>
          <w:rFonts w:ascii="Consolas" w:cs="Consolas" w:eastAsia="Consolas" w:hAnsi="Consolas"/>
          <w:color w:val="0F172A"/>
          <w:sz w:val="19"/>
          <w:szCs w:val="19"/>
          <w:shd w:fill="F1F5F9" w:val="clear"/>
        </w:rPr>
        <w:t xml:space="preserve">localhost</w:t>
      </w:r>
      <w:r>
        <w:rPr>
          <w:rFonts w:ascii="Arial" w:cs="Arial" w:eastAsia="Arial" w:hAnsi="Arial"/>
          <w:color w:val="1E293B"/>
          <w:sz w:val="21"/>
          <w:szCs w:val="21"/>
        </w:rPr>
        <w:t xml:space="preserve">), eliminating exposure to external network interfaces.</w:t>
      </w:r>
    </w:p>
    <w:p>
      <w:pPr>
        <w:pStyle w:val="ListParagraph"/>
        <w:numPr>
          <w:ilvl w:val="0"/>
          <w:numId w:val="1"/>
        </w:numPr>
        <w:spacing w:after="60" w:line="260"/>
      </w:pPr>
      <w:r>
        <w:rPr>
          <w:rFonts w:ascii="Arial" w:cs="Arial" w:eastAsia="Arial" w:hAnsi="Arial"/>
          <w:b/>
          <w:bCs/>
          <w:color w:val="0F172A"/>
          <w:sz w:val="21"/>
          <w:szCs w:val="21"/>
        </w:rPr>
        <w:t xml:space="preserve">SSRF Allowlist Protection</w:t>
      </w:r>
      <w:r>
        <w:rPr>
          <w:rFonts w:ascii="Arial" w:cs="Arial" w:eastAsia="Arial" w:hAnsi="Arial"/>
          <w:color w:val="1E293B"/>
          <w:sz w:val="21"/>
          <w:szCs w:val="21"/>
        </w:rPr>
        <w:t xml:space="preserve">: Outbound requests from the proxy layer are cryptographically constrained to official Google API hostnames (</w:t>
      </w:r>
      <w:r>
        <w:rPr>
          <w:rFonts w:ascii="Consolas" w:cs="Consolas" w:eastAsia="Consolas" w:hAnsi="Consolas"/>
          <w:color w:val="0F172A"/>
          <w:sz w:val="19"/>
          <w:szCs w:val="19"/>
          <w:shd w:fill="F1F5F9" w:val="clear"/>
        </w:rPr>
        <w:t xml:space="preserve">discoveryengine.googleapis.com</w:t>
      </w:r>
      <w:r>
        <w:rPr>
          <w:rFonts w:ascii="Arial" w:cs="Arial" w:eastAsia="Arial" w:hAnsi="Arial"/>
          <w:color w:val="1E293B"/>
          <w:sz w:val="21"/>
          <w:szCs w:val="21"/>
        </w:rPr>
        <w:t xml:space="preserve">, </w:t>
      </w:r>
      <w:r>
        <w:rPr>
          <w:rFonts w:ascii="Consolas" w:cs="Consolas" w:eastAsia="Consolas" w:hAnsi="Consolas"/>
          <w:color w:val="0F172A"/>
          <w:sz w:val="19"/>
          <w:szCs w:val="19"/>
          <w:shd w:fill="F1F5F9" w:val="clear"/>
        </w:rPr>
        <w:t xml:space="preserve">agentregistry.googleapis.com</w:t>
      </w:r>
      <w:r>
        <w:rPr>
          <w:rFonts w:ascii="Arial" w:cs="Arial" w:eastAsia="Arial" w:hAnsi="Arial"/>
          <w:color w:val="1E293B"/>
          <w:sz w:val="21"/>
          <w:szCs w:val="21"/>
        </w:rPr>
        <w:t xml:space="preserve">, </w:t>
      </w:r>
      <w:r>
        <w:rPr>
          <w:rFonts w:ascii="Consolas" w:cs="Consolas" w:eastAsia="Consolas" w:hAnsi="Consolas"/>
          <w:color w:val="0F172A"/>
          <w:sz w:val="19"/>
          <w:szCs w:val="19"/>
          <w:shd w:fill="F1F5F9" w:val="clear"/>
        </w:rPr>
        <w:t xml:space="preserve">gmail.googleapis.com</w:t>
      </w:r>
      <w:r>
        <w:rPr>
          <w:rFonts w:ascii="Arial" w:cs="Arial" w:eastAsia="Arial" w:hAnsi="Arial"/>
          <w:color w:val="1E293B"/>
          <w:sz w:val="21"/>
          <w:szCs w:val="21"/>
        </w:rPr>
        <w:t xml:space="preserve">, </w:t>
      </w:r>
      <w:r>
        <w:rPr>
          <w:rFonts w:ascii="Consolas" w:cs="Consolas" w:eastAsia="Consolas" w:hAnsi="Consolas"/>
          <w:color w:val="0F172A"/>
          <w:sz w:val="19"/>
          <w:szCs w:val="19"/>
          <w:shd w:fill="F1F5F9" w:val="clear"/>
        </w:rPr>
        <w:t xml:space="preserve">sts.googleapis.com</w:t>
      </w:r>
      <w:r>
        <w:rPr>
          <w:rFonts w:ascii="Arial" w:cs="Arial" w:eastAsia="Arial" w:hAnsi="Arial"/>
          <w:color w:val="1E293B"/>
          <w:sz w:val="21"/>
          <w:szCs w:val="21"/>
        </w:rPr>
        <w:t xml:space="preserve">, </w:t>
      </w:r>
      <w:r>
        <w:rPr>
          <w:rFonts w:ascii="Consolas" w:cs="Consolas" w:eastAsia="Consolas" w:hAnsi="Consolas"/>
          <w:color w:val="0F172A"/>
          <w:sz w:val="19"/>
          <w:szCs w:val="19"/>
          <w:shd w:fill="F1F5F9" w:val="clear"/>
        </w:rPr>
        <w:t xml:space="preserve">secretmanager.googleapis.com</w:t>
      </w:r>
      <w:r>
        <w:rPr>
          <w:rFonts w:ascii="Arial" w:cs="Arial" w:eastAsia="Arial" w:hAnsi="Arial"/>
          <w:color w:val="1E293B"/>
          <w:sz w:val="21"/>
          <w:szCs w:val="21"/>
        </w:rPr>
        <w:t xml:space="preserve">).</w:t>
      </w:r>
    </w:p>
    <w:p>
      <w:pPr>
        <w:pStyle w:val="ListParagraph"/>
        <w:numPr>
          <w:ilvl w:val="0"/>
          <w:numId w:val="1"/>
        </w:numPr>
        <w:spacing w:after="60" w:line="260"/>
      </w:pPr>
      <w:r>
        <w:rPr>
          <w:rFonts w:ascii="Arial" w:cs="Arial" w:eastAsia="Arial" w:hAnsi="Arial"/>
          <w:b/>
          <w:bCs/>
          <w:color w:val="0F172A"/>
          <w:sz w:val="21"/>
          <w:szCs w:val="21"/>
        </w:rPr>
        <w:t xml:space="preserve">Private Key Isolation</w:t>
      </w:r>
      <w:r>
        <w:rPr>
          <w:rFonts w:ascii="Arial" w:cs="Arial" w:eastAsia="Arial" w:hAnsi="Arial"/>
          <w:color w:val="1E293B"/>
          <w:sz w:val="21"/>
          <w:szCs w:val="21"/>
        </w:rPr>
        <w:t xml:space="preserve">: Service Account private keys (</w:t>
      </w:r>
      <w:r>
        <w:rPr>
          <w:rFonts w:ascii="Consolas" w:cs="Consolas" w:eastAsia="Consolas" w:hAnsi="Consolas"/>
          <w:color w:val="0F172A"/>
          <w:sz w:val="19"/>
          <w:szCs w:val="19"/>
          <w:shd w:fill="F1F5F9" w:val="clear"/>
        </w:rPr>
        <w:t xml:space="preserve">sa-dwd-key.json</w:t>
      </w:r>
      <w:r>
        <w:rPr>
          <w:rFonts w:ascii="Arial" w:cs="Arial" w:eastAsia="Arial" w:hAnsi="Arial"/>
          <w:color w:val="1E293B"/>
          <w:sz w:val="21"/>
          <w:szCs w:val="21"/>
        </w:rPr>
        <w:t xml:space="preserve">) and RSA keys (</w:t>
      </w:r>
      <w:r>
        <w:rPr>
          <w:rFonts w:ascii="Consolas" w:cs="Consolas" w:eastAsia="Consolas" w:hAnsi="Consolas"/>
          <w:color w:val="0F172A"/>
          <w:sz w:val="19"/>
          <w:szCs w:val="19"/>
          <w:shd w:fill="F1F5F9" w:val="clear"/>
        </w:rPr>
        <w:t xml:space="preserve">wif-migration-key.pem</w:t>
      </w:r>
      <w:r>
        <w:rPr>
          <w:rFonts w:ascii="Arial" w:cs="Arial" w:eastAsia="Arial" w:hAnsi="Arial"/>
          <w:color w:val="1E293B"/>
          <w:sz w:val="21"/>
          <w:szCs w:val="21"/>
        </w:rPr>
        <w:t xml:space="preserve">) remain securely on local disk and are never sent over the wire.</w:t>
      </w:r>
    </w:p>
    <w:p>
      <w:pPr>
        <w:pStyle w:val="ListParagraph"/>
        <w:numPr>
          <w:ilvl w:val="0"/>
          <w:numId w:val="1"/>
        </w:numPr>
        <w:spacing w:after="60" w:line="260"/>
      </w:pPr>
      <w:r>
        <w:rPr>
          <w:rFonts w:ascii="Arial" w:cs="Arial" w:eastAsia="Arial" w:hAnsi="Arial"/>
          <w:b/>
          <w:bCs/>
          <w:color w:val="0F172A"/>
          <w:sz w:val="21"/>
          <w:szCs w:val="21"/>
        </w:rPr>
        <w:t xml:space="preserve">Header-Only Token Injection</w:t>
      </w:r>
      <w:r>
        <w:rPr>
          <w:rFonts w:ascii="Arial" w:cs="Arial" w:eastAsia="Arial" w:hAnsi="Arial"/>
          <w:color w:val="1E293B"/>
          <w:sz w:val="21"/>
          <w:szCs w:val="21"/>
        </w:rPr>
        <w:t xml:space="preserve">: Authentication credentials are transmitted strictly within HTTP </w:t>
      </w:r>
      <w:r>
        <w:rPr>
          <w:rFonts w:ascii="Consolas" w:cs="Consolas" w:eastAsia="Consolas" w:hAnsi="Consolas"/>
          <w:color w:val="0F172A"/>
          <w:sz w:val="19"/>
          <w:szCs w:val="19"/>
          <w:shd w:fill="F1F5F9" w:val="clear"/>
        </w:rPr>
        <w:t xml:space="preserve">Authorization: Bearer</w:t>
      </w:r>
      <w:r>
        <w:rPr>
          <w:rFonts w:ascii="Arial" w:cs="Arial" w:eastAsia="Arial" w:hAnsi="Arial"/>
          <w:color w:val="1E293B"/>
          <w:sz w:val="21"/>
          <w:szCs w:val="21"/>
        </w:rPr>
        <w:t xml:space="preserve"> headers, preventing URL logging in intermediate proxies.</w:t>
      </w:r>
    </w:p>
    <w:p>
      <w:pPr>
        <w:spacing w:after="80"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Figure 1.1: Local Administration Console running on Workstation (http://127.0.0.1:8080)</w:t>
      </w:r>
    </w:p>
    <w:p>
      <w:pPr>
        <w:pStyle w:val="Heading1"/>
        <w:spacing w:after="140" w:before="360"/>
      </w:pPr>
      <w:r>
        <w:t xml:space="preserve">2. System &amp; Workstation Prerequisites</w:t>
      </w:r>
    </w:p>
    <w:p>
      <w:pPr>
        <w:spacing w:after="120" w:line="276"/>
      </w:pPr>
      <w:r>
        <w:rPr>
          <w:rFonts w:ascii="Arial" w:cs="Arial" w:eastAsia="Arial" w:hAnsi="Arial"/>
          <w:color w:val="1E293B"/>
          <w:sz w:val="21"/>
          <w:szCs w:val="21"/>
        </w:rPr>
        <w:t xml:space="preserve">Before deploying the migration tool, verify that the administrator workstation satisfies the minimum software dependencies:</w:t>
      </w:r>
    </w:p>
    <w:tbl>
      <w:tblPr>
        <w:tblW w:type="pct" w:w="5000"/>
        <w:tblBorders>
          <w:top w:val="single" w:color="CBD5E1" w:sz="1"/>
          <w:left w:val="single" w:color="CBD5E1" w:sz="1"/>
          <w:bottom w:val="single" w:color="CBD5E1" w:sz="1"/>
          <w:right w:val="single" w:color="CBD5E1" w:sz="1"/>
          <w:insideH w:val="single" w:color="E2E8F0" w:sz="1"/>
          <w:insideV w:val="single" w:color="E2E8F0" w:sz="1"/>
        </w:tblBorders>
      </w:tblPr>
      <w:tblGrid>
        <w:gridCol w:w="1805"/>
        <w:gridCol w:w="1805"/>
        <w:gridCol w:w="2257"/>
        <w:gridCol w:w="3159"/>
      </w:tblGrid>
      <w:tr>
        <w:trPr>
          <w:tblHeader/>
        </w:trPr>
        <w:tc>
          <w:tcPr>
            <w:tcW w:type="pct" w:w="100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Component</w:t>
            </w:r>
          </w:p>
        </w:tc>
        <w:tc>
          <w:tcPr>
            <w:tcW w:type="pct" w:w="100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Minimum Version</w:t>
            </w:r>
          </w:p>
        </w:tc>
        <w:tc>
          <w:tcPr>
            <w:tcW w:type="pct" w:w="125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Recommended Version</w:t>
            </w:r>
          </w:p>
        </w:tc>
        <w:tc>
          <w:tcPr>
            <w:tcW w:type="pct" w:w="175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Purpose / Description</w:t>
            </w:r>
          </w:p>
        </w:tc>
      </w:tr>
      <w:tr>
        <w:tc>
          <w:tcPr>
            <w:tcW w:type="pct" w:w="10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Node.js</w:t>
            </w:r>
          </w:p>
        </w:tc>
        <w:tc>
          <w:tcPr>
            <w:tcW w:type="pct" w:w="10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v20.0.0 (LTS)</w:t>
            </w:r>
          </w:p>
        </w:tc>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v22.x or v20.18+ (LTS)</w:t>
            </w:r>
          </w:p>
        </w:tc>
        <w:tc>
          <w:tcPr>
            <w:tcW w:type="pct" w:w="1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Asynchronous runtime executing CLI pipeline and local Express server</w:t>
            </w:r>
          </w:p>
        </w:tc>
      </w:tr>
      <w:tr>
        <w:tc>
          <w:tcPr>
            <w:tcW w:type="pct" w:w="10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npm</w:t>
            </w:r>
          </w:p>
        </w:tc>
        <w:tc>
          <w:tcPr>
            <w:tcW w:type="pct" w:w="10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v10.0.0</w:t>
            </w:r>
          </w:p>
        </w:tc>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v10.8+</w:t>
            </w:r>
          </w:p>
        </w:tc>
        <w:tc>
          <w:tcPr>
            <w:tcW w:type="pct" w:w="17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Package manager for installing dependencies</w:t>
            </w:r>
          </w:p>
        </w:tc>
      </w:tr>
      <w:tr>
        <w:tc>
          <w:tcPr>
            <w:tcW w:type="pct" w:w="10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Google Cloud SDK</w:t>
            </w:r>
          </w:p>
        </w:tc>
        <w:tc>
          <w:tcPr>
            <w:tcW w:type="pct" w:w="10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v480.0.0</w:t>
            </w:r>
          </w:p>
        </w:tc>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Latest (</w:t>
            </w:r>
            <w:r>
              <w:rPr>
                <w:rFonts w:ascii="Consolas" w:cs="Consolas" w:eastAsia="Consolas" w:hAnsi="Consolas"/>
                <w:color w:val="0F172A"/>
                <w:sz w:val="19"/>
                <w:szCs w:val="19"/>
                <w:shd w:fill="F1F5F9" w:val="clear"/>
              </w:rPr>
              <w:t xml:space="preserve">gcloud components update</w:t>
            </w:r>
            <w:r>
              <w:rPr>
                <w:rFonts w:ascii="Arial" w:cs="Arial" w:eastAsia="Arial" w:hAnsi="Arial"/>
                <w:color w:val="1E293B"/>
                <w:sz w:val="21"/>
                <w:szCs w:val="21"/>
              </w:rPr>
              <w:t xml:space="preserve">)</w:t>
            </w:r>
          </w:p>
        </w:tc>
        <w:tc>
          <w:tcPr>
            <w:tcW w:type="pct" w:w="1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CLI used for GCP authentication, IAM role binding, and ADC</w:t>
            </w:r>
          </w:p>
        </w:tc>
      </w:tr>
      <w:tr>
        <w:tc>
          <w:tcPr>
            <w:tcW w:type="pct" w:w="10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Operating System</w:t>
            </w:r>
          </w:p>
        </w:tc>
        <w:tc>
          <w:tcPr>
            <w:tcW w:type="pct" w:w="10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Linux / macOS / Windows WSL2</w:t>
            </w:r>
          </w:p>
        </w:tc>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Ubuntu 22.04 LTS / Debian 12 / macOS Sonoma</w:t>
            </w:r>
          </w:p>
        </w:tc>
        <w:tc>
          <w:tcPr>
            <w:tcW w:type="pct" w:w="17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Host platform supported across Linux, macOS, and WSL2</w:t>
            </w:r>
          </w:p>
        </w:tc>
      </w:tr>
      <w:tr>
        <w:tc>
          <w:tcPr>
            <w:tcW w:type="pct" w:w="10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ffmpeg (Optional)</w:t>
            </w:r>
          </w:p>
        </w:tc>
        <w:tc>
          <w:tcPr>
            <w:tcW w:type="pct" w:w="10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v4.4+</w:t>
            </w:r>
          </w:p>
        </w:tc>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v6.0+ (</w:t>
            </w:r>
            <w:r>
              <w:rPr>
                <w:rFonts w:ascii="Consolas" w:cs="Consolas" w:eastAsia="Consolas" w:hAnsi="Consolas"/>
                <w:color w:val="0F172A"/>
                <w:sz w:val="19"/>
                <w:szCs w:val="19"/>
                <w:shd w:fill="F1F5F9" w:val="clear"/>
              </w:rPr>
              <w:t xml:space="preserve">apt install ffmpeg</w:t>
            </w:r>
            <w:r>
              <w:rPr>
                <w:rFonts w:ascii="Arial" w:cs="Arial" w:eastAsia="Arial" w:hAnsi="Arial"/>
                <w:color w:val="1E293B"/>
                <w:sz w:val="21"/>
                <w:szCs w:val="21"/>
              </w:rPr>
              <w:t xml:space="preserve">)</w:t>
            </w:r>
          </w:p>
        </w:tc>
        <w:tc>
          <w:tcPr>
            <w:tcW w:type="pct" w:w="1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Enables automated compression of high-bitrate Explainer Videos (&gt; 12 MB)</w:t>
            </w:r>
          </w:p>
        </w:tc>
      </w:tr>
    </w:tbl>
    <w:p>
      <w:pPr>
        <w:spacing w:after="160"/>
      </w:pPr>
    </w:p>
    <w:p>
      <w:pPr>
        <w:spacing w:after="120" w:line="276"/>
      </w:pPr>
      <w:r>
        <w:rPr>
          <w:rFonts w:ascii="Arial" w:cs="Arial" w:eastAsia="Arial" w:hAnsi="Arial"/>
          <w:color w:val="1E293B"/>
          <w:sz w:val="21"/>
          <w:szCs w:val="21"/>
        </w:rPr>
        <w:t xml:space="preserve">Verify your local workstation installation using the following terminal commands:</w:t>
      </w:r>
    </w:p>
    <w:p>
      <w:pPr>
        <w:pBdr>
          <w:top w:val="single" w:color="CBD5E1" w:sz="6" w:space="60"/>
          <w:left w:val="single" w:color="3B82F6" w:sz="18" w:space="100"/>
          <w:bottom w:val="single" w:color="CBD5E1" w:sz="6" w:space="60"/>
          <w:right w:val="single" w:color="CBD5E1" w:sz="6" w:space="60"/>
        </w:pBdr>
        <w:shd w:fill="F8FAFC" w:val="clear"/>
        <w:spacing w:after="140" w:before="120"/>
        <w:ind w:left="400" w:right="200"/>
      </w:pPr>
      <w:r>
        <w:rPr>
          <w:rFonts w:ascii="Consolas" w:cs="Consolas" w:eastAsia="Consolas" w:hAnsi="Consolas"/>
          <w:color w:val="0F172A"/>
          <w:sz w:val="19"/>
          <w:szCs w:val="19"/>
        </w:rPr>
        <w:t xml:space="preserve">node --version     # Expected: v20.0.0 or higher
</w:t>
      </w:r>
      <w:r>
        <w:rPr>
          <w:rFonts w:ascii="Consolas" w:cs="Consolas" w:eastAsia="Consolas" w:hAnsi="Consolas"/>
          <w:color w:val="0F172A"/>
          <w:sz w:val="19"/>
          <w:szCs w:val="19"/>
        </w:rPr>
        <w:t xml:space="preserve">npm --version      # Expected: v10.0.0 or higher
</w:t>
      </w:r>
      <w:r>
        <w:rPr>
          <w:rFonts w:ascii="Consolas" w:cs="Consolas" w:eastAsia="Consolas" w:hAnsi="Consolas"/>
          <w:color w:val="0F172A"/>
          <w:sz w:val="19"/>
          <w:szCs w:val="19"/>
        </w:rPr>
        <w:t xml:space="preserve">gcloud --version   # Expected: Google Cloud SDK 480.0.0 or higher
</w:t>
      </w:r>
      <w:r>
        <w:rPr>
          <w:rFonts w:ascii="Consolas" w:cs="Consolas" w:eastAsia="Consolas" w:hAnsi="Consolas"/>
          <w:color w:val="0F172A"/>
          <w:sz w:val="19"/>
          <w:szCs w:val="19"/>
        </w:rPr>
        <w:t xml:space="preserve">ffmpeg -version    # Optional: Verifies video compression availability</w:t>
      </w:r>
    </w:p>
    <w:p>
      <w:pPr>
        <w:pStyle w:val="Heading1"/>
        <w:spacing w:after="140" w:before="360"/>
      </w:pPr>
      <w:r>
        <w:t xml:space="preserve">3. Google Cloud Project Pre-Requisites &amp; API Enablement</w:t>
      </w:r>
    </w:p>
    <w:p>
      <w:pPr>
        <w:spacing w:after="120" w:line="276"/>
      </w:pPr>
      <w:r>
        <w:rPr>
          <w:rFonts w:ascii="Arial" w:cs="Arial" w:eastAsia="Arial" w:hAnsi="Arial"/>
          <w:color w:val="1E293B"/>
          <w:sz w:val="21"/>
          <w:szCs w:val="21"/>
        </w:rPr>
        <w:t xml:space="preserve">The migration platform interacts with Google Cloud Discovery Engine, Identity and Access Management, Google Agent Registry, and Gmail APIs. You must enable the following APIs in both the </w:t>
      </w:r>
      <w:r>
        <w:rPr>
          <w:rFonts w:ascii="Arial" w:cs="Arial" w:eastAsia="Arial" w:hAnsi="Arial"/>
          <w:b/>
          <w:bCs/>
          <w:color w:val="0F172A"/>
          <w:sz w:val="21"/>
          <w:szCs w:val="21"/>
        </w:rPr>
        <w:t xml:space="preserve">Source GCP Project</w:t>
      </w:r>
      <w:r>
        <w:rPr>
          <w:rFonts w:ascii="Arial" w:cs="Arial" w:eastAsia="Arial" w:hAnsi="Arial"/>
          <w:color w:val="1E293B"/>
          <w:sz w:val="21"/>
          <w:szCs w:val="21"/>
        </w:rPr>
        <w:t xml:space="preserve"> and the </w:t>
      </w:r>
      <w:r>
        <w:rPr>
          <w:rFonts w:ascii="Arial" w:cs="Arial" w:eastAsia="Arial" w:hAnsi="Arial"/>
          <w:b/>
          <w:bCs/>
          <w:color w:val="0F172A"/>
          <w:sz w:val="21"/>
          <w:szCs w:val="21"/>
        </w:rPr>
        <w:t xml:space="preserve">Target GCP Project</w:t>
      </w:r>
      <w:r>
        <w:rPr>
          <w:rFonts w:ascii="Arial" w:cs="Arial" w:eastAsia="Arial" w:hAnsi="Arial"/>
          <w:color w:val="1E293B"/>
          <w:sz w:val="21"/>
          <w:szCs w:val="21"/>
        </w:rPr>
        <w:t xml:space="preserve"> prior to migration.</w:t>
      </w:r>
    </w:p>
    <w:tbl>
      <w:tblPr>
        <w:tblW w:type="pct" w:w="5000"/>
        <w:tblBorders>
          <w:top w:val="single" w:color="CBD5E1" w:sz="1"/>
          <w:left w:val="single" w:color="CBD5E1" w:sz="1"/>
          <w:bottom w:val="single" w:color="CBD5E1" w:sz="1"/>
          <w:right w:val="single" w:color="CBD5E1" w:sz="1"/>
          <w:insideH w:val="single" w:color="E2E8F0" w:sz="1"/>
          <w:insideV w:val="single" w:color="E2E8F0" w:sz="1"/>
        </w:tblBorders>
      </w:tblPr>
      <w:tblGrid>
        <w:gridCol w:w="2257"/>
        <w:gridCol w:w="2708"/>
        <w:gridCol w:w="1805"/>
        <w:gridCol w:w="2257"/>
      </w:tblGrid>
      <w:tr>
        <w:trPr>
          <w:tblHeader/>
        </w:trPr>
        <w:tc>
          <w:tcPr>
            <w:tcW w:type="pct" w:w="125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API Service Name</w:t>
            </w:r>
          </w:p>
        </w:tc>
        <w:tc>
          <w:tcPr>
            <w:tcW w:type="pct" w:w="150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Endpoint Identifier</w:t>
            </w:r>
          </w:p>
        </w:tc>
        <w:tc>
          <w:tcPr>
            <w:tcW w:type="pct" w:w="100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Required On</w:t>
            </w:r>
          </w:p>
        </w:tc>
        <w:tc>
          <w:tcPr>
            <w:tcW w:type="pct" w:w="125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Functional Purpose</w:t>
            </w:r>
          </w:p>
        </w:tc>
      </w:tr>
      <w:tr>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Discovery Engine API</w:t>
            </w:r>
          </w:p>
        </w:tc>
        <w:tc>
          <w:tcPr>
            <w:tcW w:type="pct" w:w="15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discoveryengine.googleapis.com</w:t>
            </w:r>
          </w:p>
        </w:tc>
        <w:tc>
          <w:tcPr>
            <w:tcW w:type="pct" w:w="10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Source &amp; Target</w:t>
            </w:r>
          </w:p>
        </w:tc>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Read/write access to engines, collections, notebooks, custom agents, and sessions</w:t>
            </w:r>
          </w:p>
        </w:tc>
      </w:tr>
      <w:tr>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Agent Registry API</w:t>
            </w:r>
          </w:p>
        </w:tc>
        <w:tc>
          <w:tcPr>
            <w:tcW w:type="pct" w:w="15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agentregistry.googleapis.com</w:t>
            </w:r>
          </w:p>
        </w:tc>
        <w:tc>
          <w:tcPr>
            <w:tcW w:type="pct" w:w="10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Source &amp; Target</w:t>
            </w:r>
          </w:p>
        </w:tc>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Discovers and migrates enterprise skills created by end users</w:t>
            </w:r>
          </w:p>
        </w:tc>
      </w:tr>
      <w:tr>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Service Usage API</w:t>
            </w:r>
          </w:p>
        </w:tc>
        <w:tc>
          <w:tcPr>
            <w:tcW w:type="pct" w:w="15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serviceusage.googleapis.com</w:t>
            </w:r>
          </w:p>
        </w:tc>
        <w:tc>
          <w:tcPr>
            <w:tcW w:type="pct" w:w="10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Source &amp; Target</w:t>
            </w:r>
          </w:p>
        </w:tc>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Verifies consumer project quotas and passes infrastructure pre-flight checks</w:t>
            </w:r>
          </w:p>
        </w:tc>
      </w:tr>
      <w:tr>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IAM Service Account API</w:t>
            </w:r>
          </w:p>
        </w:tc>
        <w:tc>
          <w:tcPr>
            <w:tcW w:type="pct" w:w="15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iam.googleapis.com</w:t>
            </w:r>
          </w:p>
        </w:tc>
        <w:tc>
          <w:tcPr>
            <w:tcW w:type="pct" w:w="10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Target Project</w:t>
            </w:r>
          </w:p>
        </w:tc>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Required for Service Account token minting and DWD impersonation</w:t>
            </w:r>
          </w:p>
        </w:tc>
      </w:tr>
      <w:tr>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Security Token Service</w:t>
            </w:r>
          </w:p>
        </w:tc>
        <w:tc>
          <w:tcPr>
            <w:tcW w:type="pct" w:w="15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sts.googleapis.com</w:t>
            </w:r>
          </w:p>
        </w:tc>
        <w:tc>
          <w:tcPr>
            <w:tcW w:type="pct" w:w="10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Source &amp; Target</w:t>
            </w:r>
          </w:p>
        </w:tc>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Required for Workforce Identity Federation (WiF) OIDC token exchanges</w:t>
            </w:r>
          </w:p>
        </w:tc>
      </w:tr>
      <w:tr>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Gmail API (Optional)</w:t>
            </w:r>
          </w:p>
        </w:tc>
        <w:tc>
          <w:tcPr>
            <w:tcW w:type="pct" w:w="15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gmail.googleapis.com</w:t>
            </w:r>
          </w:p>
        </w:tc>
        <w:tc>
          <w:tcPr>
            <w:tcW w:type="pct" w:w="10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Target Project</w:t>
            </w:r>
          </w:p>
        </w:tc>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Required for dispatching user handover notification emails with attached study guides</w:t>
            </w:r>
          </w:p>
        </w:tc>
      </w:tr>
      <w:tr>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Secret Manager API</w:t>
            </w:r>
          </w:p>
        </w:tc>
        <w:tc>
          <w:tcPr>
            <w:tcW w:type="pct" w:w="15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secretmanager.googleapis.com</w:t>
            </w:r>
          </w:p>
        </w:tc>
        <w:tc>
          <w:tcPr>
            <w:tcW w:type="pct" w:w="10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Target Project</w:t>
            </w:r>
          </w:p>
        </w:tc>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Optional for secure enterprise storage of Service Account keys</w:t>
            </w:r>
          </w:p>
        </w:tc>
      </w:tr>
    </w:tbl>
    <w:p>
      <w:pPr>
        <w:spacing w:after="160"/>
      </w:pPr>
    </w:p>
    <w:p>
      <w:pPr>
        <w:spacing w:after="120" w:line="276"/>
      </w:pPr>
      <w:r>
        <w:rPr>
          <w:rFonts w:ascii="Arial" w:cs="Arial" w:eastAsia="Arial" w:hAnsi="Arial"/>
          <w:color w:val="1E293B"/>
          <w:sz w:val="21"/>
          <w:szCs w:val="21"/>
        </w:rPr>
        <w:t xml:space="preserve">Run the following </w:t>
      </w:r>
      <w:r>
        <w:rPr>
          <w:rFonts w:ascii="Consolas" w:cs="Consolas" w:eastAsia="Consolas" w:hAnsi="Consolas"/>
          <w:color w:val="0F172A"/>
          <w:sz w:val="19"/>
          <w:szCs w:val="19"/>
          <w:shd w:fill="F1F5F9" w:val="clear"/>
        </w:rPr>
        <w:t xml:space="preserve">gcloud</w:t>
      </w:r>
      <w:r>
        <w:rPr>
          <w:rFonts w:ascii="Arial" w:cs="Arial" w:eastAsia="Arial" w:hAnsi="Arial"/>
          <w:color w:val="1E293B"/>
          <w:sz w:val="21"/>
          <w:szCs w:val="21"/>
        </w:rPr>
        <w:t xml:space="preserve"> command to enable the APIs on both environments:</w:t>
      </w:r>
    </w:p>
    <w:p>
      <w:pPr>
        <w:pBdr>
          <w:top w:val="single" w:color="CBD5E1" w:sz="6" w:space="60"/>
          <w:left w:val="single" w:color="3B82F6" w:sz="18" w:space="100"/>
          <w:bottom w:val="single" w:color="CBD5E1" w:sz="6" w:space="60"/>
          <w:right w:val="single" w:color="CBD5E1" w:sz="6" w:space="60"/>
        </w:pBdr>
        <w:shd w:fill="F8FAFC" w:val="clear"/>
        <w:spacing w:after="140" w:before="120"/>
        <w:ind w:left="400" w:right="200"/>
      </w:pPr>
      <w:r>
        <w:rPr>
          <w:rFonts w:ascii="Consolas" w:cs="Consolas" w:eastAsia="Consolas" w:hAnsi="Consolas"/>
          <w:color w:val="0F172A"/>
          <w:sz w:val="19"/>
          <w:szCs w:val="19"/>
        </w:rPr>
        <w:t xml:space="preserve"># Enable APIs on Source Project
</w:t>
      </w:r>
      <w:r>
        <w:rPr>
          <w:rFonts w:ascii="Consolas" w:cs="Consolas" w:eastAsia="Consolas" w:hAnsi="Consolas"/>
          <w:color w:val="0F172A"/>
          <w:sz w:val="19"/>
          <w:szCs w:val="19"/>
        </w:rPr>
        <w:t xml:space="preserve">gcloud services enable discoveryengine.googleapis.com \
</w:t>
      </w:r>
      <w:r>
        <w:rPr>
          <w:rFonts w:ascii="Consolas" w:cs="Consolas" w:eastAsia="Consolas" w:hAnsi="Consolas"/>
          <w:color w:val="0F172A"/>
          <w:sz w:val="19"/>
          <w:szCs w:val="19"/>
        </w:rPr>
        <w:t xml:space="preserve">                       agentregistry.googleapis.com \
</w:t>
      </w:r>
      <w:r>
        <w:rPr>
          <w:rFonts w:ascii="Consolas" w:cs="Consolas" w:eastAsia="Consolas" w:hAnsi="Consolas"/>
          <w:color w:val="0F172A"/>
          <w:sz w:val="19"/>
          <w:szCs w:val="19"/>
        </w:rPr>
        <w:t xml:space="preserve">                       serviceusage.googleapis.com \
</w:t>
      </w:r>
      <w:r>
        <w:rPr>
          <w:rFonts w:ascii="Consolas" w:cs="Consolas" w:eastAsia="Consolas" w:hAnsi="Consolas"/>
          <w:color w:val="0F172A"/>
          <w:sz w:val="19"/>
          <w:szCs w:val="19"/>
        </w:rPr>
        <w:t xml:space="preserve">                       sts.googleapis.com \
</w:t>
      </w:r>
      <w:r>
        <w:rPr>
          <w:rFonts w:ascii="Consolas" w:cs="Consolas" w:eastAsia="Consolas" w:hAnsi="Consolas"/>
          <w:color w:val="0F172A"/>
          <w:sz w:val="19"/>
          <w:szCs w:val="19"/>
        </w:rPr>
        <w:t xml:space="preserve">                       --project=&lt;SOURCE_PROJECT_ID&gt;
</w:t>
      </w:r>
      <w:r>
        <w:rPr>
          <w:rFonts w:ascii="Consolas" w:cs="Consolas" w:eastAsia="Consolas" w:hAnsi="Consolas"/>
          <w:color w:val="0F172A"/>
          <w:sz w:val="19"/>
          <w:szCs w:val="19"/>
        </w:rPr>
        <w:t xml:space="preserve">
</w:t>
      </w:r>
      <w:r>
        <w:rPr>
          <w:rFonts w:ascii="Consolas" w:cs="Consolas" w:eastAsia="Consolas" w:hAnsi="Consolas"/>
          <w:color w:val="0F172A"/>
          <w:sz w:val="19"/>
          <w:szCs w:val="19"/>
        </w:rPr>
        <w:t xml:space="preserve"># Enable APIs on Target Project
</w:t>
      </w:r>
      <w:r>
        <w:rPr>
          <w:rFonts w:ascii="Consolas" w:cs="Consolas" w:eastAsia="Consolas" w:hAnsi="Consolas"/>
          <w:color w:val="0F172A"/>
          <w:sz w:val="19"/>
          <w:szCs w:val="19"/>
        </w:rPr>
        <w:t xml:space="preserve">gcloud services enable discoveryengine.googleapis.com \
</w:t>
      </w:r>
      <w:r>
        <w:rPr>
          <w:rFonts w:ascii="Consolas" w:cs="Consolas" w:eastAsia="Consolas" w:hAnsi="Consolas"/>
          <w:color w:val="0F172A"/>
          <w:sz w:val="19"/>
          <w:szCs w:val="19"/>
        </w:rPr>
        <w:t xml:space="preserve">                       agentregistry.googleapis.com \
</w:t>
      </w:r>
      <w:r>
        <w:rPr>
          <w:rFonts w:ascii="Consolas" w:cs="Consolas" w:eastAsia="Consolas" w:hAnsi="Consolas"/>
          <w:color w:val="0F172A"/>
          <w:sz w:val="19"/>
          <w:szCs w:val="19"/>
        </w:rPr>
        <w:t xml:space="preserve">                       serviceusage.googleapis.com \
</w:t>
      </w:r>
      <w:r>
        <w:rPr>
          <w:rFonts w:ascii="Consolas" w:cs="Consolas" w:eastAsia="Consolas" w:hAnsi="Consolas"/>
          <w:color w:val="0F172A"/>
          <w:sz w:val="19"/>
          <w:szCs w:val="19"/>
        </w:rPr>
        <w:t xml:space="preserve">                       iam.googleapis.com \
</w:t>
      </w:r>
      <w:r>
        <w:rPr>
          <w:rFonts w:ascii="Consolas" w:cs="Consolas" w:eastAsia="Consolas" w:hAnsi="Consolas"/>
          <w:color w:val="0F172A"/>
          <w:sz w:val="19"/>
          <w:szCs w:val="19"/>
        </w:rPr>
        <w:t xml:space="preserve">                       sts.googleapis.com \
</w:t>
      </w:r>
      <w:r>
        <w:rPr>
          <w:rFonts w:ascii="Consolas" w:cs="Consolas" w:eastAsia="Consolas" w:hAnsi="Consolas"/>
          <w:color w:val="0F172A"/>
          <w:sz w:val="19"/>
          <w:szCs w:val="19"/>
        </w:rPr>
        <w:t xml:space="preserve">                       gmail.googleapis.com \
</w:t>
      </w:r>
      <w:r>
        <w:rPr>
          <w:rFonts w:ascii="Consolas" w:cs="Consolas" w:eastAsia="Consolas" w:hAnsi="Consolas"/>
          <w:color w:val="0F172A"/>
          <w:sz w:val="19"/>
          <w:szCs w:val="19"/>
        </w:rPr>
        <w:t xml:space="preserve">                       secretmanager.googleapis.com \
</w:t>
      </w:r>
      <w:r>
        <w:rPr>
          <w:rFonts w:ascii="Consolas" w:cs="Consolas" w:eastAsia="Consolas" w:hAnsi="Consolas"/>
          <w:color w:val="0F172A"/>
          <w:sz w:val="19"/>
          <w:szCs w:val="19"/>
        </w:rPr>
        <w:t xml:space="preserve">                       --project=&lt;TARGET_PROJECT_ID&gt;</w:t>
      </w:r>
    </w:p>
    <w:p>
      <w:pPr>
        <w:pStyle w:val="Heading1"/>
        <w:spacing w:after="140" w:before="360"/>
      </w:pPr>
      <w:r>
        <w:t xml:space="preserve">4. IAM Roles &amp; Security Permissions Matrix</w:t>
      </w:r>
    </w:p>
    <w:p>
      <w:pPr>
        <w:spacing w:after="120" w:line="276"/>
      </w:pPr>
      <w:r>
        <w:rPr>
          <w:rFonts w:ascii="Arial" w:cs="Arial" w:eastAsia="Arial" w:hAnsi="Arial"/>
          <w:color w:val="1E293B"/>
          <w:sz w:val="21"/>
          <w:szCs w:val="21"/>
        </w:rPr>
        <w:t xml:space="preserve">The migration administrator or execution identity requires distinct read and write privileges across the source and target environments to uphold the principle of least privilege.</w:t>
      </w:r>
    </w:p>
    <w:tbl>
      <w:tblPr>
        <w:tblW w:type="pct" w:w="5000"/>
        <w:tblBorders>
          <w:top w:val="single" w:color="CBD5E1" w:sz="1"/>
          <w:left w:val="single" w:color="CBD5E1" w:sz="1"/>
          <w:bottom w:val="single" w:color="CBD5E1" w:sz="1"/>
          <w:right w:val="single" w:color="CBD5E1" w:sz="1"/>
          <w:insideH w:val="single" w:color="E2E8F0" w:sz="1"/>
          <w:insideV w:val="single" w:color="E2E8F0" w:sz="1"/>
        </w:tblBorders>
      </w:tblPr>
      <w:tblGrid>
        <w:gridCol w:w="1805"/>
        <w:gridCol w:w="3159"/>
        <w:gridCol w:w="1805"/>
        <w:gridCol w:w="2257"/>
      </w:tblGrid>
      <w:tr>
        <w:trPr>
          <w:tblHeader/>
        </w:trPr>
        <w:tc>
          <w:tcPr>
            <w:tcW w:type="pct" w:w="100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Environment</w:t>
            </w:r>
          </w:p>
        </w:tc>
        <w:tc>
          <w:tcPr>
            <w:tcW w:type="pct" w:w="175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Role Name / Identifier</w:t>
            </w:r>
          </w:p>
        </w:tc>
        <w:tc>
          <w:tcPr>
            <w:tcW w:type="pct" w:w="100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Role Type</w:t>
            </w:r>
          </w:p>
        </w:tc>
        <w:tc>
          <w:tcPr>
            <w:tcW w:type="pct" w:w="125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Justification / Purpose</w:t>
            </w:r>
          </w:p>
        </w:tc>
      </w:tr>
      <w:tr>
        <w:tc>
          <w:tcPr>
            <w:tcW w:type="pct" w:w="10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Source Project</w:t>
            </w:r>
          </w:p>
        </w:tc>
        <w:tc>
          <w:tcPr>
            <w:tcW w:type="pct" w:w="1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roles/discoveryengine.viewer</w:t>
            </w:r>
          </w:p>
        </w:tc>
        <w:tc>
          <w:tcPr>
            <w:tcW w:type="pct" w:w="10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Predefined Role</w:t>
            </w:r>
          </w:p>
        </w:tc>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Read-only discovery of custom agents, notebooks, datastores, and chat turns</w:t>
            </w:r>
          </w:p>
        </w:tc>
      </w:tr>
      <w:tr>
        <w:tc>
          <w:tcPr>
            <w:tcW w:type="pct" w:w="10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Source Project</w:t>
            </w:r>
          </w:p>
        </w:tc>
        <w:tc>
          <w:tcPr>
            <w:tcW w:type="pct" w:w="17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roles/serviceusage.serviceUsageConsumer</w:t>
            </w:r>
          </w:p>
        </w:tc>
        <w:tc>
          <w:tcPr>
            <w:tcW w:type="pct" w:w="10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Predefined Role</w:t>
            </w:r>
          </w:p>
        </w:tc>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Authorizes Discovery Engine API consumption checks on source project</w:t>
            </w:r>
          </w:p>
        </w:tc>
      </w:tr>
      <w:tr>
        <w:tc>
          <w:tcPr>
            <w:tcW w:type="pct" w:w="10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Source Project</w:t>
            </w:r>
          </w:p>
        </w:tc>
        <w:tc>
          <w:tcPr>
            <w:tcW w:type="pct" w:w="1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roles/iam.securityReviewer</w:t>
            </w:r>
          </w:p>
        </w:tc>
        <w:tc>
          <w:tcPr>
            <w:tcW w:type="pct" w:w="10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Predefined Role</w:t>
            </w:r>
          </w:p>
        </w:tc>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Allows enumerating project IAM bindings (resourcemanager.projects.getIamPolicy) during User Discovery</w:t>
            </w:r>
          </w:p>
        </w:tc>
      </w:tr>
      <w:tr>
        <w:tc>
          <w:tcPr>
            <w:tcW w:type="pct" w:w="10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Target Project</w:t>
            </w:r>
          </w:p>
        </w:tc>
        <w:tc>
          <w:tcPr>
            <w:tcW w:type="pct" w:w="17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roles/discoveryengine.admin</w:t>
            </w:r>
          </w:p>
        </w:tc>
        <w:tc>
          <w:tcPr>
            <w:tcW w:type="pct" w:w="10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Predefined Role</w:t>
            </w:r>
          </w:p>
        </w:tc>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Creation and configuration of target engines, datastores, agents, and notebooks</w:t>
            </w:r>
          </w:p>
        </w:tc>
      </w:tr>
      <w:tr>
        <w:tc>
          <w:tcPr>
            <w:tcW w:type="pct" w:w="10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Target Project</w:t>
            </w:r>
          </w:p>
        </w:tc>
        <w:tc>
          <w:tcPr>
            <w:tcW w:type="pct" w:w="1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roles/iam.serviceAccountTokenCreator</w:t>
            </w:r>
          </w:p>
        </w:tc>
        <w:tc>
          <w:tcPr>
            <w:tcW w:type="pct" w:w="10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Predefined Role</w:t>
            </w:r>
          </w:p>
        </w:tc>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Allows minting user-scoped impersonation tokens via Domain-Wide Delegation</w:t>
            </w:r>
          </w:p>
        </w:tc>
      </w:tr>
      <w:tr>
        <w:tc>
          <w:tcPr>
            <w:tcW w:type="pct" w:w="10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Target Project</w:t>
            </w:r>
          </w:p>
        </w:tc>
        <w:tc>
          <w:tcPr>
            <w:tcW w:type="pct" w:w="17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roles/serviceusage.serviceUsageConsumer</w:t>
            </w:r>
          </w:p>
        </w:tc>
        <w:tc>
          <w:tcPr>
            <w:tcW w:type="pct" w:w="10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Predefined Role</w:t>
            </w:r>
          </w:p>
        </w:tc>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Authorizes Discovery Engine API consumption checks on target project</w:t>
            </w:r>
          </w:p>
        </w:tc>
      </w:tr>
    </w:tbl>
    <w:p>
      <w:pPr>
        <w:spacing w:after="160"/>
      </w:pPr>
    </w:p>
    <w:p>
      <w:pPr>
        <w:pBdr>
          <w:left w:val="single" w:color="16A34A" w:sz="24" w:space="140"/>
        </w:pBdr>
        <w:shd w:fill="F0FDF4" w:val="clear"/>
        <w:spacing w:after="160" w:before="140"/>
        <w:ind w:left="400" w:right="200"/>
      </w:pPr>
      <w:r>
        <w:rPr>
          <w:rFonts w:ascii="Arial" w:cs="Arial" w:eastAsia="Arial" w:hAnsi="Arial"/>
          <w:b/>
          <w:bCs/>
          <w:color w:val="16A34A"/>
          <w:sz w:val="20"/>
          <w:szCs w:val="20"/>
        </w:rPr>
        <w:t xml:space="preserve">💡 TIP: </w:t>
      </w:r>
      <w:r>
        <w:rPr>
          <w:rFonts w:ascii="Arial" w:cs="Arial" w:eastAsia="Arial" w:hAnsi="Arial"/>
          <w:b/>
          <w:bCs/>
          <w:color w:val="0F172A"/>
          <w:sz w:val="20"/>
          <w:szCs w:val="20"/>
        </w:rPr>
        <w:t xml:space="preserve">Resolution of 403 serviceusage.serviceUsageConsumer Errors
</w:t>
      </w:r>
      <w:r>
        <w:rPr>
          <w:rFonts w:ascii="Arial" w:cs="Arial" w:eastAsia="Arial" w:hAnsi="Arial"/>
          <w:color w:val="1E293B"/>
          <w:sz w:val="21"/>
          <w:szCs w:val="21"/>
        </w:rPr>
        <w:t xml:space="preserve">Granting </w:t>
      </w:r>
      <w:r>
        <w:rPr>
          <w:rFonts w:ascii="Consolas" w:cs="Consolas" w:eastAsia="Consolas" w:hAnsi="Consolas"/>
          <w:color w:val="0F172A"/>
          <w:sz w:val="19"/>
          <w:szCs w:val="19"/>
          <w:shd w:fill="F1F5F9" w:val="clear"/>
        </w:rPr>
        <w:t xml:space="preserve">roles/serviceusage.serviceUsageConsumer</w:t>
      </w:r>
      <w:r>
        <w:rPr>
          <w:rFonts w:ascii="Arial" w:cs="Arial" w:eastAsia="Arial" w:hAnsi="Arial"/>
          <w:color w:val="1E293B"/>
          <w:sz w:val="21"/>
          <w:szCs w:val="21"/>
        </w:rPr>
        <w:t xml:space="preserve"> and </w:t>
      </w:r>
      <w:r>
        <w:rPr>
          <w:rFonts w:ascii="Consolas" w:cs="Consolas" w:eastAsia="Consolas" w:hAnsi="Consolas"/>
          <w:color w:val="0F172A"/>
          <w:sz w:val="19"/>
          <w:szCs w:val="19"/>
          <w:shd w:fill="F1F5F9" w:val="clear"/>
        </w:rPr>
        <w:t xml:space="preserve">roles/iam.securityReviewer</w:t>
      </w:r>
      <w:r>
        <w:rPr>
          <w:rFonts w:ascii="Arial" w:cs="Arial" w:eastAsia="Arial" w:hAnsi="Arial"/>
          <w:color w:val="1E293B"/>
          <w:sz w:val="21"/>
          <w:szCs w:val="21"/>
        </w:rPr>
        <w:t xml:space="preserve"> on the Source Project is mandatory. Administrative pre-flight checks and project IAM discovery are isolated to the configured Service Account key, ensuring that user-scoped WiF tokens are never erroneously used for administrative engine validation.</w:t>
      </w:r>
    </w:p>
    <w:p>
      <w:pPr>
        <w:pStyle w:val="Heading1"/>
        <w:spacing w:after="140" w:before="360"/>
      </w:pPr>
      <w:r>
        <w:t xml:space="preserve">4.1 Google Cloud Organization Policies &amp; Security Constraints</w:t>
      </w:r>
    </w:p>
    <w:p>
      <w:pPr>
        <w:spacing w:after="120" w:line="276"/>
      </w:pPr>
      <w:r>
        <w:rPr>
          <w:rFonts w:ascii="Arial" w:cs="Arial" w:eastAsia="Arial" w:hAnsi="Arial"/>
          <w:color w:val="1E293B"/>
          <w:sz w:val="21"/>
          <w:szCs w:val="21"/>
        </w:rPr>
        <w:t xml:space="preserve">Enterprise Google Cloud landing zones frequently enforce organizational constraints at the Organization or Folder hierarchy level. Before provisioning credentials, evaluate the following policies:</w:t>
      </w:r>
    </w:p>
    <w:tbl>
      <w:tblPr>
        <w:tblW w:type="pct" w:w="5000"/>
        <w:tblBorders>
          <w:top w:val="single" w:color="CBD5E1" w:sz="1"/>
          <w:left w:val="single" w:color="CBD5E1" w:sz="1"/>
          <w:bottom w:val="single" w:color="CBD5E1" w:sz="1"/>
          <w:right w:val="single" w:color="CBD5E1" w:sz="1"/>
          <w:insideH w:val="single" w:color="E2E8F0" w:sz="1"/>
          <w:insideV w:val="single" w:color="E2E8F0" w:sz="1"/>
        </w:tblBorders>
      </w:tblPr>
      <w:tblGrid>
        <w:gridCol w:w="2708"/>
        <w:gridCol w:w="1805"/>
        <w:gridCol w:w="2257"/>
        <w:gridCol w:w="2257"/>
      </w:tblGrid>
      <w:tr>
        <w:trPr>
          <w:tblHeader/>
        </w:trPr>
        <w:tc>
          <w:tcPr>
            <w:tcW w:type="pct" w:w="150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Organization Policy Constraint</w:t>
            </w:r>
          </w:p>
        </w:tc>
        <w:tc>
          <w:tcPr>
            <w:tcW w:type="pct" w:w="100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Target Requirement</w:t>
            </w:r>
          </w:p>
        </w:tc>
        <w:tc>
          <w:tcPr>
            <w:tcW w:type="pct" w:w="125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Impact on Migration Tool</w:t>
            </w:r>
          </w:p>
        </w:tc>
        <w:tc>
          <w:tcPr>
            <w:tcW w:type="pct" w:w="125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Remediation / Alternative</w:t>
            </w:r>
          </w:p>
        </w:tc>
      </w:tr>
      <w:tr>
        <w:tc>
          <w:tcPr>
            <w:tcW w:type="pct" w:w="15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constraints/iam.disableServiceAccountKeyCreation</w:t>
            </w:r>
          </w:p>
        </w:tc>
        <w:tc>
          <w:tcPr>
            <w:tcW w:type="pct" w:w="10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Key creation permitted on target project</w:t>
            </w:r>
          </w:p>
        </w:tc>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Blocks Pattern A Step 3: Prevents generating sa-dwd-key.json</w:t>
            </w:r>
          </w:p>
        </w:tc>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Use 1-Click project override in Auth Wizard, or adopt Pattern B (WiF) which is keyless and exempt.</w:t>
            </w:r>
          </w:p>
        </w:tc>
      </w:tr>
      <w:tr>
        <w:tc>
          <w:tcPr>
            <w:tcW w:type="pct" w:w="15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constraints/iam.disableCrossProjectServiceAccountUsage</w:t>
            </w:r>
          </w:p>
        </w:tc>
        <w:tc>
          <w:tcPr>
            <w:tcW w:type="pct" w:w="10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Target SA created within target project</w:t>
            </w:r>
          </w:p>
        </w:tc>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Blocks Cross-Project DWD: A service account from source project cannot access target Discovery Engine</w:t>
            </w:r>
          </w:p>
        </w:tc>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Create and bind gemini-dwd-migrator directly within the Target GCP Project.</w:t>
            </w:r>
          </w:p>
        </w:tc>
      </w:tr>
      <w:tr>
        <w:tc>
          <w:tcPr>
            <w:tcW w:type="pct" w:w="15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constraints/iam.allowedPolicyMemberDomains</w:t>
            </w:r>
          </w:p>
        </w:tc>
        <w:tc>
          <w:tcPr>
            <w:tcW w:type="pct" w:w="10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Workforce &amp; user domains allowed in IAM</w:t>
            </w:r>
          </w:p>
        </w:tc>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Restricts Cross-Domain Sharing: Agent/Skill IAM sync fails if users belong to unauthorized domains</w:t>
            </w:r>
          </w:p>
        </w:tc>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Map source identities to target domain via identityMapping, or verify workforce pool principalSet is permitted.</w:t>
            </w:r>
          </w:p>
        </w:tc>
      </w:tr>
      <w:tr>
        <w:tc>
          <w:tcPr>
            <w:tcW w:type="pct" w:w="15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constraints/discoveryengine.managed.allowedDataSources</w:t>
            </w:r>
          </w:p>
        </w:tc>
        <w:tc>
          <w:tcPr>
            <w:tcW w:type="pct" w:w="10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Connectors permitted</w:t>
            </w:r>
          </w:p>
        </w:tc>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Restricts data store attachment</w:t>
            </w:r>
          </w:p>
        </w:tc>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Ensure required data sources (e.g. custom_mcp, Drive, GCS) are permitted by policy.</w:t>
            </w:r>
          </w:p>
        </w:tc>
      </w:tr>
      <w:tr>
        <w:tc>
          <w:tcPr>
            <w:tcW w:type="pct" w:w="15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constraints/storage.uniformBucketLevelAccess</w:t>
            </w:r>
          </w:p>
        </w:tc>
        <w:tc>
          <w:tcPr>
            <w:tcW w:type="pct" w:w="10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Uniform bucket-level access</w:t>
            </w:r>
          </w:p>
        </w:tc>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Enforces bucket IAM over object ACLs</w:t>
            </w:r>
          </w:p>
        </w:tc>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The migration tool defaults to standard IAM bucket permissions; avoid object-level ACLs.</w:t>
            </w:r>
          </w:p>
        </w:tc>
      </w:tr>
    </w:tbl>
    <w:p>
      <w:pPr>
        <w:spacing w:after="160"/>
      </w:pPr>
    </w:p>
    <w:p>
      <w:pPr>
        <w:pStyle w:val="Heading2"/>
        <w:spacing w:after="120" w:before="280"/>
      </w:pPr>
      <w:r>
        <w:t xml:space="preserve">Live Organization Policy Inspection &amp; 1-Click Remediation</w:t>
      </w:r>
    </w:p>
    <w:p>
      <w:pPr>
        <w:spacing w:after="120" w:line="276"/>
      </w:pPr>
      <w:r>
        <w:rPr>
          <w:rFonts w:ascii="Arial" w:cs="Arial" w:eastAsia="Arial" w:hAnsi="Arial"/>
          <w:color w:val="1E293B"/>
          <w:sz w:val="21"/>
          <w:szCs w:val="21"/>
        </w:rPr>
        <w:t xml:space="preserve">The web console provides built-in pre-flight inspection in the Auth &amp; WiF Wizard (http://127.0.0.1:8080):</w:t>
      </w:r>
    </w:p>
    <w:p>
      <w:pPr>
        <w:spacing w:after="80" w:line="260"/>
        <w:ind w:left="360" w:hanging="360"/>
      </w:pPr>
      <w:r>
        <w:rPr>
          <w:rFonts w:ascii="Arial" w:cs="Arial" w:eastAsia="Arial" w:hAnsi="Arial"/>
          <w:b/>
          <w:bCs/>
          <w:color w:val="1A73E8"/>
          <w:sz w:val="21"/>
          <w:szCs w:val="21"/>
        </w:rPr>
        <w:t xml:space="preserve">1.  </w:t>
      </w:r>
      <w:r>
        <w:rPr>
          <w:rFonts w:ascii="Arial" w:cs="Arial" w:eastAsia="Arial" w:hAnsi="Arial"/>
          <w:color w:val="1E293B"/>
          <w:sz w:val="21"/>
          <w:szCs w:val="21"/>
        </w:rPr>
        <w:t xml:space="preserve">Navigate to Auth &amp; WiF Wizard -&gt; Domain-Wide Delegation (DWD).</w:t>
      </w:r>
    </w:p>
    <w:p>
      <w:pPr>
        <w:spacing w:after="80" w:line="260"/>
        <w:ind w:left="360" w:hanging="360"/>
      </w:pPr>
      <w:r>
        <w:rPr>
          <w:rFonts w:ascii="Arial" w:cs="Arial" w:eastAsia="Arial" w:hAnsi="Arial"/>
          <w:b/>
          <w:bCs/>
          <w:color w:val="1A73E8"/>
          <w:sz w:val="21"/>
          <w:szCs w:val="21"/>
        </w:rPr>
        <w:t xml:space="preserve">2.  </w:t>
      </w:r>
      <w:r>
        <w:rPr>
          <w:rFonts w:ascii="Arial" w:cs="Arial" w:eastAsia="Arial" w:hAnsi="Arial"/>
          <w:color w:val="1E293B"/>
          <w:sz w:val="21"/>
          <w:szCs w:val="21"/>
        </w:rPr>
        <w:t xml:space="preserve">Enter your Target GCP Project ID and click Check Org Policies.</w:t>
      </w:r>
    </w:p>
    <w:p>
      <w:pPr>
        <w:spacing w:after="80" w:line="260"/>
        <w:ind w:left="360" w:hanging="360"/>
      </w:pPr>
      <w:r>
        <w:rPr>
          <w:rFonts w:ascii="Arial" w:cs="Arial" w:eastAsia="Arial" w:hAnsi="Arial"/>
          <w:b/>
          <w:bCs/>
          <w:color w:val="1A73E8"/>
          <w:sz w:val="21"/>
          <w:szCs w:val="21"/>
        </w:rPr>
        <w:t xml:space="preserve">3.  </w:t>
      </w:r>
      <w:r>
        <w:rPr>
          <w:rFonts w:ascii="Arial" w:cs="Arial" w:eastAsia="Arial" w:hAnsi="Arial"/>
          <w:color w:val="1E293B"/>
          <w:sz w:val="21"/>
          <w:szCs w:val="21"/>
        </w:rPr>
        <w:t xml:space="preserve">If iam.disableServiceAccountKeyCreation is active, click 1-Click Project Override to apply a project-scoped exemption without altering the parent organization.</w:t>
      </w:r>
    </w:p>
    <w:p>
      <w:pPr>
        <w:pStyle w:val="Heading1"/>
        <w:spacing w:after="140" w:before="360"/>
      </w:pPr>
      <w:r>
        <w:t xml:space="preserve">5. Authentication Setup &amp; Credential Provisioning</w:t>
      </w:r>
    </w:p>
    <w:p>
      <w:pPr>
        <w:spacing w:after="120" w:line="276"/>
      </w:pPr>
      <w:r>
        <w:rPr>
          <w:rFonts w:ascii="Arial" w:cs="Arial" w:eastAsia="Arial" w:hAnsi="Arial"/>
          <w:color w:val="1E293B"/>
          <w:sz w:val="21"/>
          <w:szCs w:val="21"/>
        </w:rPr>
        <w:t xml:space="preserve">The migration tool supports three flexible enterprise authentication patterns depending on the Identity Providers in use:</w:t>
      </w:r>
    </w:p>
    <w:p>
      <w:pPr>
        <w:pStyle w:val="Heading2"/>
        <w:spacing w:after="120" w:before="280"/>
      </w:pPr>
      <w:r>
        <w:t xml:space="preserve">Pattern A: Google Workspace / Cloud Identity via Domain-Wide Delegation (DWD)</w:t>
      </w:r>
    </w:p>
    <w:p>
      <w:pPr>
        <w:spacing w:after="120" w:line="276"/>
      </w:pPr>
      <w:r>
        <w:rPr>
          <w:rFonts w:ascii="Arial" w:cs="Arial" w:eastAsia="Arial" w:hAnsi="Arial"/>
          <w:color w:val="1E293B"/>
          <w:sz w:val="21"/>
          <w:szCs w:val="21"/>
        </w:rPr>
        <w:t xml:space="preserve">Domain-Wide Delegation (DWD) enables the migration tool to restore chat history and personal research notebooks directly into each user's personal Google Workspace library.</w:t>
      </w:r>
    </w:p>
    <w:p>
      <w:pPr>
        <w:spacing w:after="80" w:line="260"/>
        <w:ind w:left="360" w:hanging="360"/>
      </w:pPr>
      <w:r>
        <w:rPr>
          <w:rFonts w:ascii="Arial" w:cs="Arial" w:eastAsia="Arial" w:hAnsi="Arial"/>
          <w:b/>
          <w:bCs/>
          <w:color w:val="1A73E8"/>
          <w:sz w:val="21"/>
          <w:szCs w:val="21"/>
        </w:rPr>
        <w:t xml:space="preserve">1.  </w:t>
      </w:r>
      <w:r>
        <w:rPr>
          <w:rFonts w:ascii="Arial" w:cs="Arial" w:eastAsia="Arial" w:hAnsi="Arial"/>
          <w:color w:val="1E293B"/>
          <w:sz w:val="21"/>
          <w:szCs w:val="21"/>
        </w:rPr>
        <w:t xml:space="preserve">Create the migration service account in the Target GCP Project:</w:t>
      </w:r>
    </w:p>
    <w:p>
      <w:pPr>
        <w:pBdr>
          <w:top w:val="single" w:color="CBD5E1" w:sz="6" w:space="60"/>
          <w:left w:val="single" w:color="3B82F6" w:sz="18" w:space="100"/>
          <w:bottom w:val="single" w:color="CBD5E1" w:sz="6" w:space="60"/>
          <w:right w:val="single" w:color="CBD5E1" w:sz="6" w:space="60"/>
        </w:pBdr>
        <w:shd w:fill="F8FAFC" w:val="clear"/>
        <w:spacing w:after="140" w:before="120"/>
        <w:ind w:left="400" w:right="200"/>
      </w:pPr>
      <w:r>
        <w:rPr>
          <w:rFonts w:ascii="Consolas" w:cs="Consolas" w:eastAsia="Consolas" w:hAnsi="Consolas"/>
          <w:color w:val="0F172A"/>
          <w:sz w:val="19"/>
          <w:szCs w:val="19"/>
        </w:rPr>
        <w:t xml:space="preserve">gcloud iam service-accounts create gemini-dwd-migrator \
</w:t>
      </w:r>
      <w:r>
        <w:rPr>
          <w:rFonts w:ascii="Consolas" w:cs="Consolas" w:eastAsia="Consolas" w:hAnsi="Consolas"/>
          <w:color w:val="0F172A"/>
          <w:sz w:val="19"/>
          <w:szCs w:val="19"/>
        </w:rPr>
        <w:t xml:space="preserve">    --display-name="Gemini Enterprise Migration Service Account" \
</w:t>
      </w:r>
      <w:r>
        <w:rPr>
          <w:rFonts w:ascii="Consolas" w:cs="Consolas" w:eastAsia="Consolas" w:hAnsi="Consolas"/>
          <w:color w:val="0F172A"/>
          <w:sz w:val="19"/>
          <w:szCs w:val="19"/>
        </w:rPr>
        <w:t xml:space="preserve">    --project=&lt;TARGET_PROJECT_ID&gt;</w:t>
      </w:r>
    </w:p>
    <w:p>
      <w:pPr>
        <w:spacing w:after="80" w:line="260"/>
        <w:ind w:left="360" w:hanging="360"/>
      </w:pPr>
      <w:r>
        <w:rPr>
          <w:rFonts w:ascii="Arial" w:cs="Arial" w:eastAsia="Arial" w:hAnsi="Arial"/>
          <w:b/>
          <w:bCs/>
          <w:color w:val="1A73E8"/>
          <w:sz w:val="21"/>
          <w:szCs w:val="21"/>
        </w:rPr>
        <w:t xml:space="preserve">2.  </w:t>
      </w:r>
      <w:r>
        <w:rPr>
          <w:rFonts w:ascii="Arial" w:cs="Arial" w:eastAsia="Arial" w:hAnsi="Arial"/>
          <w:color w:val="1E293B"/>
          <w:sz w:val="21"/>
          <w:szCs w:val="21"/>
        </w:rPr>
        <w:t xml:space="preserve">Assign required IAM roles to the service account across BOTH Target and Source Projects:</w:t>
      </w:r>
    </w:p>
    <w:p>
      <w:pPr>
        <w:pBdr>
          <w:top w:val="single" w:color="CBD5E1" w:sz="6" w:space="60"/>
          <w:left w:val="single" w:color="3B82F6" w:sz="18" w:space="100"/>
          <w:bottom w:val="single" w:color="CBD5E1" w:sz="6" w:space="60"/>
          <w:right w:val="single" w:color="CBD5E1" w:sz="6" w:space="60"/>
        </w:pBdr>
        <w:shd w:fill="F8FAFC" w:val="clear"/>
        <w:spacing w:after="140" w:before="120"/>
        <w:ind w:left="400" w:right="200"/>
      </w:pPr>
      <w:r>
        <w:rPr>
          <w:rFonts w:ascii="Consolas" w:cs="Consolas" w:eastAsia="Consolas" w:hAnsi="Consolas"/>
          <w:color w:val="0F172A"/>
          <w:sz w:val="19"/>
          <w:szCs w:val="19"/>
        </w:rPr>
        <w:t xml:space="preserve"># Grant roles on TARGET Project (Restore &amp; Token Minting)
</w:t>
      </w:r>
      <w:r>
        <w:rPr>
          <w:rFonts w:ascii="Consolas" w:cs="Consolas" w:eastAsia="Consolas" w:hAnsi="Consolas"/>
          <w:color w:val="0F172A"/>
          <w:sz w:val="19"/>
          <w:szCs w:val="19"/>
        </w:rPr>
        <w:t xml:space="preserve">gcloud projects add-iam-policy-binding &lt;TARGET_PROJECT_ID&gt; \
</w:t>
      </w:r>
      <w:r>
        <w:rPr>
          <w:rFonts w:ascii="Consolas" w:cs="Consolas" w:eastAsia="Consolas" w:hAnsi="Consolas"/>
          <w:color w:val="0F172A"/>
          <w:sz w:val="19"/>
          <w:szCs w:val="19"/>
        </w:rPr>
        <w:t xml:space="preserve">    --member="serviceAccount:gemini-dwd-migrator@&lt;TARGET_PROJECT_ID&gt;.iam.gserviceaccount.com" \
</w:t>
      </w:r>
      <w:r>
        <w:rPr>
          <w:rFonts w:ascii="Consolas" w:cs="Consolas" w:eastAsia="Consolas" w:hAnsi="Consolas"/>
          <w:color w:val="0F172A"/>
          <w:sz w:val="19"/>
          <w:szCs w:val="19"/>
        </w:rPr>
        <w:t xml:space="preserve">    --role="roles/discoveryengine.admin"
</w:t>
      </w:r>
      <w:r>
        <w:rPr>
          <w:rFonts w:ascii="Consolas" w:cs="Consolas" w:eastAsia="Consolas" w:hAnsi="Consolas"/>
          <w:color w:val="0F172A"/>
          <w:sz w:val="19"/>
          <w:szCs w:val="19"/>
        </w:rPr>
        <w:t xml:space="preserve">
</w:t>
      </w:r>
      <w:r>
        <w:rPr>
          <w:rFonts w:ascii="Consolas" w:cs="Consolas" w:eastAsia="Consolas" w:hAnsi="Consolas"/>
          <w:color w:val="0F172A"/>
          <w:sz w:val="19"/>
          <w:szCs w:val="19"/>
        </w:rPr>
        <w:t xml:space="preserve">gcloud projects add-iam-policy-binding &lt;TARGET_PROJECT_ID&gt; \
</w:t>
      </w:r>
      <w:r>
        <w:rPr>
          <w:rFonts w:ascii="Consolas" w:cs="Consolas" w:eastAsia="Consolas" w:hAnsi="Consolas"/>
          <w:color w:val="0F172A"/>
          <w:sz w:val="19"/>
          <w:szCs w:val="19"/>
        </w:rPr>
        <w:t xml:space="preserve">    --member="serviceAccount:gemini-dwd-migrator@&lt;TARGET_PROJECT_ID&gt;.iam.gserviceaccount.com" \
</w:t>
      </w:r>
      <w:r>
        <w:rPr>
          <w:rFonts w:ascii="Consolas" w:cs="Consolas" w:eastAsia="Consolas" w:hAnsi="Consolas"/>
          <w:color w:val="0F172A"/>
          <w:sz w:val="19"/>
          <w:szCs w:val="19"/>
        </w:rPr>
        <w:t xml:space="preserve">    --role="roles/iam.serviceAccountTokenCreator"
</w:t>
      </w:r>
      <w:r>
        <w:rPr>
          <w:rFonts w:ascii="Consolas" w:cs="Consolas" w:eastAsia="Consolas" w:hAnsi="Consolas"/>
          <w:color w:val="0F172A"/>
          <w:sz w:val="19"/>
          <w:szCs w:val="19"/>
        </w:rPr>
        <w:t xml:space="preserve">
</w:t>
      </w:r>
      <w:r>
        <w:rPr>
          <w:rFonts w:ascii="Consolas" w:cs="Consolas" w:eastAsia="Consolas" w:hAnsi="Consolas"/>
          <w:color w:val="0F172A"/>
          <w:sz w:val="19"/>
          <w:szCs w:val="19"/>
        </w:rPr>
        <w:t xml:space="preserve">gcloud projects add-iam-policy-binding &lt;TARGET_PROJECT_ID&gt; \
</w:t>
      </w:r>
      <w:r>
        <w:rPr>
          <w:rFonts w:ascii="Consolas" w:cs="Consolas" w:eastAsia="Consolas" w:hAnsi="Consolas"/>
          <w:color w:val="0F172A"/>
          <w:sz w:val="19"/>
          <w:szCs w:val="19"/>
        </w:rPr>
        <w:t xml:space="preserve">    --member="serviceAccount:gemini-dwd-migrator@&lt;TARGET_PROJECT_ID&gt;.iam.gserviceaccount.com" \
</w:t>
      </w:r>
      <w:r>
        <w:rPr>
          <w:rFonts w:ascii="Consolas" w:cs="Consolas" w:eastAsia="Consolas" w:hAnsi="Consolas"/>
          <w:color w:val="0F172A"/>
          <w:sz w:val="19"/>
          <w:szCs w:val="19"/>
        </w:rPr>
        <w:t xml:space="preserve">    --role="roles/serviceusage.serviceUsageConsumer"
</w:t>
      </w:r>
      <w:r>
        <w:rPr>
          <w:rFonts w:ascii="Consolas" w:cs="Consolas" w:eastAsia="Consolas" w:hAnsi="Consolas"/>
          <w:color w:val="0F172A"/>
          <w:sz w:val="19"/>
          <w:szCs w:val="19"/>
        </w:rPr>
        <w:t xml:space="preserve">
</w:t>
      </w:r>
      <w:r>
        <w:rPr>
          <w:rFonts w:ascii="Consolas" w:cs="Consolas" w:eastAsia="Consolas" w:hAnsi="Consolas"/>
          <w:color w:val="0F172A"/>
          <w:sz w:val="19"/>
          <w:szCs w:val="19"/>
        </w:rPr>
        <w:t xml:space="preserve"># Grant roles on SOURCE Project (MANDATORY for Cross-Project Discovery &amp; Parity Audit)
</w:t>
      </w:r>
      <w:r>
        <w:rPr>
          <w:rFonts w:ascii="Consolas" w:cs="Consolas" w:eastAsia="Consolas" w:hAnsi="Consolas"/>
          <w:color w:val="0F172A"/>
          <w:sz w:val="19"/>
          <w:szCs w:val="19"/>
        </w:rPr>
        <w:t xml:space="preserve">gcloud projects add-iam-policy-binding &lt;SOURCE_PROJECT_ID&gt; \
</w:t>
      </w:r>
      <w:r>
        <w:rPr>
          <w:rFonts w:ascii="Consolas" w:cs="Consolas" w:eastAsia="Consolas" w:hAnsi="Consolas"/>
          <w:color w:val="0F172A"/>
          <w:sz w:val="19"/>
          <w:szCs w:val="19"/>
        </w:rPr>
        <w:t xml:space="preserve">    --member="serviceAccount:gemini-dwd-migrator@&lt;TARGET_PROJECT_ID&gt;.iam.gserviceaccount.com" \
</w:t>
      </w:r>
      <w:r>
        <w:rPr>
          <w:rFonts w:ascii="Consolas" w:cs="Consolas" w:eastAsia="Consolas" w:hAnsi="Consolas"/>
          <w:color w:val="0F172A"/>
          <w:sz w:val="19"/>
          <w:szCs w:val="19"/>
        </w:rPr>
        <w:t xml:space="preserve">    --role="roles/discoveryengine.admin"
</w:t>
      </w:r>
      <w:r>
        <w:rPr>
          <w:rFonts w:ascii="Consolas" w:cs="Consolas" w:eastAsia="Consolas" w:hAnsi="Consolas"/>
          <w:color w:val="0F172A"/>
          <w:sz w:val="19"/>
          <w:szCs w:val="19"/>
        </w:rPr>
        <w:t xml:space="preserve">
</w:t>
      </w:r>
      <w:r>
        <w:rPr>
          <w:rFonts w:ascii="Consolas" w:cs="Consolas" w:eastAsia="Consolas" w:hAnsi="Consolas"/>
          <w:color w:val="0F172A"/>
          <w:sz w:val="19"/>
          <w:szCs w:val="19"/>
        </w:rPr>
        <w:t xml:space="preserve">gcloud projects add-iam-policy-binding &lt;SOURCE_PROJECT_ID&gt; \
</w:t>
      </w:r>
      <w:r>
        <w:rPr>
          <w:rFonts w:ascii="Consolas" w:cs="Consolas" w:eastAsia="Consolas" w:hAnsi="Consolas"/>
          <w:color w:val="0F172A"/>
          <w:sz w:val="19"/>
          <w:szCs w:val="19"/>
        </w:rPr>
        <w:t xml:space="preserve">    --member="serviceAccount:gemini-dwd-migrator@&lt;TARGET_PROJECT_ID&gt;.iam.gserviceaccount.com" \
</w:t>
      </w:r>
      <w:r>
        <w:rPr>
          <w:rFonts w:ascii="Consolas" w:cs="Consolas" w:eastAsia="Consolas" w:hAnsi="Consolas"/>
          <w:color w:val="0F172A"/>
          <w:sz w:val="19"/>
          <w:szCs w:val="19"/>
        </w:rPr>
        <w:t xml:space="preserve">    --role="roles/serviceusage.serviceUsageConsumer"
</w:t>
      </w:r>
      <w:r>
        <w:rPr>
          <w:rFonts w:ascii="Consolas" w:cs="Consolas" w:eastAsia="Consolas" w:hAnsi="Consolas"/>
          <w:color w:val="0F172A"/>
          <w:sz w:val="19"/>
          <w:szCs w:val="19"/>
        </w:rPr>
        <w:t xml:space="preserve">
</w:t>
      </w:r>
      <w:r>
        <w:rPr>
          <w:rFonts w:ascii="Consolas" w:cs="Consolas" w:eastAsia="Consolas" w:hAnsi="Consolas"/>
          <w:color w:val="0F172A"/>
          <w:sz w:val="19"/>
          <w:szCs w:val="19"/>
        </w:rPr>
        <w:t xml:space="preserve">gcloud projects add-iam-policy-binding &lt;SOURCE_PROJECT_ID&gt; \
</w:t>
      </w:r>
      <w:r>
        <w:rPr>
          <w:rFonts w:ascii="Consolas" w:cs="Consolas" w:eastAsia="Consolas" w:hAnsi="Consolas"/>
          <w:color w:val="0F172A"/>
          <w:sz w:val="19"/>
          <w:szCs w:val="19"/>
        </w:rPr>
        <w:t xml:space="preserve">    --member="serviceAccount:gemini-dwd-migrator@&lt;TARGET_PROJECT_ID&gt;.iam.gserviceaccount.com" \
</w:t>
      </w:r>
      <w:r>
        <w:rPr>
          <w:rFonts w:ascii="Consolas" w:cs="Consolas" w:eastAsia="Consolas" w:hAnsi="Consolas"/>
          <w:color w:val="0F172A"/>
          <w:sz w:val="19"/>
          <w:szCs w:val="19"/>
        </w:rPr>
        <w:t xml:space="preserve">    --role="roles/iam.securityReviewer"</w:t>
      </w:r>
    </w:p>
    <w:p>
      <w:pPr>
        <w:spacing w:after="80" w:line="260"/>
        <w:ind w:left="360" w:hanging="360"/>
      </w:pPr>
      <w:r>
        <w:rPr>
          <w:rFonts w:ascii="Arial" w:cs="Arial" w:eastAsia="Arial" w:hAnsi="Arial"/>
          <w:b/>
          <w:bCs/>
          <w:color w:val="1A73E8"/>
          <w:sz w:val="21"/>
          <w:szCs w:val="21"/>
        </w:rPr>
        <w:t xml:space="preserve">3.  </w:t>
      </w:r>
      <w:r>
        <w:rPr>
          <w:rFonts w:ascii="Arial" w:cs="Arial" w:eastAsia="Arial" w:hAnsi="Arial"/>
          <w:color w:val="1E293B"/>
          <w:sz w:val="21"/>
          <w:szCs w:val="21"/>
        </w:rPr>
        <w:t xml:space="preserve">Export the service account JSON private key:</w:t>
      </w:r>
    </w:p>
    <w:p>
      <w:pPr>
        <w:pBdr>
          <w:top w:val="single" w:color="CBD5E1" w:sz="6" w:space="60"/>
          <w:left w:val="single" w:color="3B82F6" w:sz="18" w:space="100"/>
          <w:bottom w:val="single" w:color="CBD5E1" w:sz="6" w:space="60"/>
          <w:right w:val="single" w:color="CBD5E1" w:sz="6" w:space="60"/>
        </w:pBdr>
        <w:shd w:fill="F8FAFC" w:val="clear"/>
        <w:spacing w:after="140" w:before="120"/>
        <w:ind w:left="400" w:right="200"/>
      </w:pPr>
      <w:r>
        <w:rPr>
          <w:rFonts w:ascii="Consolas" w:cs="Consolas" w:eastAsia="Consolas" w:hAnsi="Consolas"/>
          <w:color w:val="0F172A"/>
          <w:sz w:val="19"/>
          <w:szCs w:val="19"/>
        </w:rPr>
        <w:t xml:space="preserve">gcloud iam service-accounts keys create sa-dwd-key.json \
</w:t>
      </w:r>
      <w:r>
        <w:rPr>
          <w:rFonts w:ascii="Consolas" w:cs="Consolas" w:eastAsia="Consolas" w:hAnsi="Consolas"/>
          <w:color w:val="0F172A"/>
          <w:sz w:val="19"/>
          <w:szCs w:val="19"/>
        </w:rPr>
        <w:t xml:space="preserve">    --iam-account="gemini-dwd-migrator@&lt;TARGET_PROJECT_ID&gt;.iam.gserviceaccount.com"</w:t>
      </w:r>
    </w:p>
    <w:p>
      <w:pPr>
        <w:pBdr>
          <w:left w:val="single" w:color="DC2626" w:sz="24" w:space="140"/>
        </w:pBdr>
        <w:shd w:fill="FEF2F2" w:val="clear"/>
        <w:spacing w:after="160" w:before="140"/>
        <w:ind w:left="400" w:right="200"/>
      </w:pPr>
      <w:r>
        <w:rPr>
          <w:rFonts w:ascii="Arial" w:cs="Arial" w:eastAsia="Arial" w:hAnsi="Arial"/>
          <w:b/>
          <w:bCs/>
          <w:color w:val="DC2626"/>
          <w:sz w:val="20"/>
          <w:szCs w:val="20"/>
        </w:rPr>
        <w:t xml:space="preserve">🚨 CRITICAL: </w:t>
      </w:r>
      <w:r>
        <w:rPr>
          <w:rFonts w:ascii="Arial" w:cs="Arial" w:eastAsia="Arial" w:hAnsi="Arial"/>
          <w:b/>
          <w:bCs/>
          <w:color w:val="0F172A"/>
          <w:sz w:val="20"/>
          <w:szCs w:val="20"/>
        </w:rPr>
        <w:t xml:space="preserve">Blocked by iam.disableServiceAccountKeyCreation?
</w:t>
      </w:r>
      <w:r>
        <w:rPr>
          <w:rFonts w:ascii="Arial" w:cs="Arial" w:eastAsia="Arial" w:hAnsi="Arial"/>
          <w:color w:val="1E293B"/>
          <w:sz w:val="21"/>
          <w:szCs w:val="21"/>
        </w:rPr>
        <w:t xml:space="preserve">If step 3 returns FAILED_PRECONDITION: Key creation is disabled by organization policy, you can: (1) In the web console Auth Wizard, click 1-Click Project Override (requires roles/orgpolicy.policyAdmin), or apply via gcloud org-policies set-policy; or (2) Switch to Pattern B (Workforce Identity Federation), which exchanges tokens with GCP STS dynamically and is 100% exempt from service account key policies.</w:t>
      </w:r>
    </w:p>
    <w:p>
      <w:pPr>
        <w:spacing w:after="80" w:line="260"/>
        <w:ind w:left="360" w:hanging="360"/>
      </w:pPr>
      <w:r>
        <w:rPr>
          <w:rFonts w:ascii="Arial" w:cs="Arial" w:eastAsia="Arial" w:hAnsi="Arial"/>
          <w:b/>
          <w:bCs/>
          <w:color w:val="1A73E8"/>
          <w:sz w:val="21"/>
          <w:szCs w:val="21"/>
        </w:rPr>
        <w:t xml:space="preserve">4.  </w:t>
      </w:r>
      <w:r>
        <w:rPr>
          <w:rFonts w:ascii="Arial" w:cs="Arial" w:eastAsia="Arial" w:hAnsi="Arial"/>
          <w:color w:val="1E293B"/>
          <w:sz w:val="21"/>
          <w:szCs w:val="21"/>
        </w:rPr>
        <w:t xml:space="preserve">Authorize the Client ID in Google Workspace Admin Console (</w:t>
      </w:r>
      <w:r>
        <w:rPr>
          <w:rFonts w:ascii="Consolas" w:cs="Consolas" w:eastAsia="Consolas" w:hAnsi="Consolas"/>
          <w:color w:val="0F172A"/>
          <w:sz w:val="19"/>
          <w:szCs w:val="19"/>
          <w:shd w:fill="F1F5F9" w:val="clear"/>
        </w:rPr>
        <w:t xml:space="preserve">admin.google.com</w:t>
      </w:r>
      <w:r>
        <w:rPr>
          <w:rFonts w:ascii="Arial" w:cs="Arial" w:eastAsia="Arial" w:hAnsi="Arial"/>
          <w:color w:val="1E293B"/>
          <w:sz w:val="21"/>
          <w:szCs w:val="21"/>
        </w:rPr>
        <w:t xml:space="preserve">):</w:t>
      </w:r>
    </w:p>
    <w:p>
      <w:pPr>
        <w:pStyle w:val="ListParagraph"/>
        <w:numPr>
          <w:ilvl w:val="0"/>
          <w:numId w:val="1"/>
        </w:numPr>
        <w:spacing w:after="60" w:line="260"/>
      </w:pPr>
      <w:r>
        <w:rPr>
          <w:rFonts w:ascii="Arial" w:cs="Arial" w:eastAsia="Arial" w:hAnsi="Arial"/>
          <w:color w:val="1E293B"/>
          <w:sz w:val="21"/>
          <w:szCs w:val="21"/>
        </w:rPr>
        <w:t xml:space="preserve">Sign in to </w:t>
      </w:r>
      <w:r>
        <w:rPr>
          <w:rFonts w:ascii="Arial" w:cs="Arial" w:eastAsia="Arial" w:hAnsi="Arial"/>
          <w:b/>
          <w:bCs/>
          <w:color w:val="0F172A"/>
          <w:sz w:val="21"/>
          <w:szCs w:val="21"/>
        </w:rPr>
        <w:t xml:space="preserve">admin.google.com</w:t>
      </w:r>
      <w:r>
        <w:rPr>
          <w:rFonts w:ascii="Arial" w:cs="Arial" w:eastAsia="Arial" w:hAnsi="Arial"/>
          <w:color w:val="1E293B"/>
          <w:sz w:val="21"/>
          <w:szCs w:val="21"/>
        </w:rPr>
        <w:t xml:space="preserve"> as a Super Administrator.</w:t>
      </w:r>
    </w:p>
    <w:p>
      <w:pPr>
        <w:pStyle w:val="ListParagraph"/>
        <w:numPr>
          <w:ilvl w:val="0"/>
          <w:numId w:val="1"/>
        </w:numPr>
        <w:spacing w:after="60" w:line="260"/>
      </w:pPr>
      <w:r>
        <w:rPr>
          <w:rFonts w:ascii="Arial" w:cs="Arial" w:eastAsia="Arial" w:hAnsi="Arial"/>
          <w:color w:val="1E293B"/>
          <w:sz w:val="21"/>
          <w:szCs w:val="21"/>
        </w:rPr>
        <w:t xml:space="preserve">Navigate to </w:t>
      </w:r>
      <w:r>
        <w:rPr>
          <w:rFonts w:ascii="Arial" w:cs="Arial" w:eastAsia="Arial" w:hAnsi="Arial"/>
          <w:b/>
          <w:bCs/>
          <w:color w:val="0F172A"/>
          <w:sz w:val="21"/>
          <w:szCs w:val="21"/>
        </w:rPr>
        <w:t xml:space="preserve">Security</w:t>
      </w:r>
      <w:r>
        <w:rPr>
          <w:rFonts w:ascii="Arial" w:cs="Arial" w:eastAsia="Arial" w:hAnsi="Arial"/>
          <w:color w:val="1E293B"/>
          <w:sz w:val="21"/>
          <w:szCs w:val="21"/>
        </w:rPr>
        <w:t xml:space="preserve"> &amp;rarr; </w:t>
      </w:r>
      <w:r>
        <w:rPr>
          <w:rFonts w:ascii="Arial" w:cs="Arial" w:eastAsia="Arial" w:hAnsi="Arial"/>
          <w:b/>
          <w:bCs/>
          <w:color w:val="0F172A"/>
          <w:sz w:val="21"/>
          <w:szCs w:val="21"/>
        </w:rPr>
        <w:t xml:space="preserve">Access and data control</w:t>
      </w:r>
      <w:r>
        <w:rPr>
          <w:rFonts w:ascii="Arial" w:cs="Arial" w:eastAsia="Arial" w:hAnsi="Arial"/>
          <w:color w:val="1E293B"/>
          <w:sz w:val="21"/>
          <w:szCs w:val="21"/>
        </w:rPr>
        <w:t xml:space="preserve"> &amp;rarr; </w:t>
      </w:r>
      <w:r>
        <w:rPr>
          <w:rFonts w:ascii="Arial" w:cs="Arial" w:eastAsia="Arial" w:hAnsi="Arial"/>
          <w:b/>
          <w:bCs/>
          <w:color w:val="0F172A"/>
          <w:sz w:val="21"/>
          <w:szCs w:val="21"/>
        </w:rPr>
        <w:t xml:space="preserve">API controls</w:t>
      </w:r>
      <w:r>
        <w:rPr>
          <w:rFonts w:ascii="Arial" w:cs="Arial" w:eastAsia="Arial" w:hAnsi="Arial"/>
          <w:color w:val="1E293B"/>
          <w:sz w:val="21"/>
          <w:szCs w:val="21"/>
        </w:rPr>
        <w:t xml:space="preserve">.</w:t>
      </w:r>
    </w:p>
    <w:p>
      <w:pPr>
        <w:pStyle w:val="ListParagraph"/>
        <w:numPr>
          <w:ilvl w:val="0"/>
          <w:numId w:val="1"/>
        </w:numPr>
        <w:spacing w:after="60" w:line="260"/>
      </w:pPr>
      <w:r>
        <w:rPr>
          <w:rFonts w:ascii="Arial" w:cs="Arial" w:eastAsia="Arial" w:hAnsi="Arial"/>
          <w:color w:val="1E293B"/>
          <w:sz w:val="21"/>
          <w:szCs w:val="21"/>
        </w:rPr>
        <w:t xml:space="preserve">Under </w:t>
      </w:r>
      <w:r>
        <w:rPr>
          <w:rFonts w:ascii="Arial" w:cs="Arial" w:eastAsia="Arial" w:hAnsi="Arial"/>
          <w:b/>
          <w:bCs/>
          <w:color w:val="0F172A"/>
          <w:sz w:val="21"/>
          <w:szCs w:val="21"/>
        </w:rPr>
        <w:t xml:space="preserve">Domain-wide delegation</w:t>
      </w:r>
      <w:r>
        <w:rPr>
          <w:rFonts w:ascii="Arial" w:cs="Arial" w:eastAsia="Arial" w:hAnsi="Arial"/>
          <w:color w:val="1E293B"/>
          <w:sz w:val="21"/>
          <w:szCs w:val="21"/>
        </w:rPr>
        <w:t xml:space="preserve">, click </w:t>
      </w:r>
      <w:r>
        <w:rPr>
          <w:rFonts w:ascii="Arial" w:cs="Arial" w:eastAsia="Arial" w:hAnsi="Arial"/>
          <w:b/>
          <w:bCs/>
          <w:color w:val="0F172A"/>
          <w:sz w:val="21"/>
          <w:szCs w:val="21"/>
        </w:rPr>
        <w:t xml:space="preserve">Manage Domain Wide Delegation</w:t>
      </w:r>
      <w:r>
        <w:rPr>
          <w:rFonts w:ascii="Arial" w:cs="Arial" w:eastAsia="Arial" w:hAnsi="Arial"/>
          <w:color w:val="1E293B"/>
          <w:sz w:val="21"/>
          <w:szCs w:val="21"/>
        </w:rPr>
        <w:t xml:space="preserve"> &amp;rarr; </w:t>
      </w:r>
      <w:r>
        <w:rPr>
          <w:rFonts w:ascii="Arial" w:cs="Arial" w:eastAsia="Arial" w:hAnsi="Arial"/>
          <w:b/>
          <w:bCs/>
          <w:color w:val="0F172A"/>
          <w:sz w:val="21"/>
          <w:szCs w:val="21"/>
        </w:rPr>
        <w:t xml:space="preserve">Add new</w:t>
      </w:r>
      <w:r>
        <w:rPr>
          <w:rFonts w:ascii="Arial" w:cs="Arial" w:eastAsia="Arial" w:hAnsi="Arial"/>
          <w:color w:val="1E293B"/>
          <w:sz w:val="21"/>
          <w:szCs w:val="21"/>
        </w:rPr>
        <w:t xml:space="preserve">.</w:t>
      </w:r>
    </w:p>
    <w:p>
      <w:pPr>
        <w:pStyle w:val="ListParagraph"/>
        <w:numPr>
          <w:ilvl w:val="0"/>
          <w:numId w:val="1"/>
        </w:numPr>
        <w:spacing w:after="60" w:line="260"/>
      </w:pPr>
      <w:r>
        <w:rPr>
          <w:rFonts w:ascii="Arial" w:cs="Arial" w:eastAsia="Arial" w:hAnsi="Arial"/>
          <w:color w:val="1E293B"/>
          <w:sz w:val="21"/>
          <w:szCs w:val="21"/>
        </w:rPr>
        <w:t xml:space="preserve">Enter the </w:t>
      </w:r>
      <w:r>
        <w:rPr>
          <w:rFonts w:ascii="Arial" w:cs="Arial" w:eastAsia="Arial" w:hAnsi="Arial"/>
          <w:b/>
          <w:bCs/>
          <w:color w:val="0F172A"/>
          <w:sz w:val="21"/>
          <w:szCs w:val="21"/>
        </w:rPr>
        <w:t xml:space="preserve">OAuth2 Client ID</w:t>
      </w:r>
      <w:r>
        <w:rPr>
          <w:rFonts w:ascii="Arial" w:cs="Arial" w:eastAsia="Arial" w:hAnsi="Arial"/>
          <w:color w:val="1E293B"/>
          <w:sz w:val="21"/>
          <w:szCs w:val="21"/>
        </w:rPr>
        <w:t xml:space="preserve"> of your service account (found in </w:t>
      </w:r>
      <w:r>
        <w:rPr>
          <w:rFonts w:ascii="Consolas" w:cs="Consolas" w:eastAsia="Consolas" w:hAnsi="Consolas"/>
          <w:color w:val="0F172A"/>
          <w:sz w:val="19"/>
          <w:szCs w:val="19"/>
          <w:shd w:fill="F1F5F9" w:val="clear"/>
        </w:rPr>
        <w:t xml:space="preserve">sa-dwd-key.json</w:t>
      </w:r>
      <w:r>
        <w:rPr>
          <w:rFonts w:ascii="Arial" w:cs="Arial" w:eastAsia="Arial" w:hAnsi="Arial"/>
          <w:color w:val="1E293B"/>
          <w:sz w:val="21"/>
          <w:szCs w:val="21"/>
        </w:rPr>
        <w:t xml:space="preserve"> as </w:t>
      </w:r>
      <w:r>
        <w:rPr>
          <w:rFonts w:ascii="Consolas" w:cs="Consolas" w:eastAsia="Consolas" w:hAnsi="Consolas"/>
          <w:color w:val="0F172A"/>
          <w:sz w:val="19"/>
          <w:szCs w:val="19"/>
          <w:shd w:fill="F1F5F9" w:val="clear"/>
        </w:rPr>
        <w:t xml:space="preserve">client_id</w:t>
      </w:r>
      <w:r>
        <w:rPr>
          <w:rFonts w:ascii="Arial" w:cs="Arial" w:eastAsia="Arial" w:hAnsi="Arial"/>
          <w:color w:val="1E293B"/>
          <w:sz w:val="21"/>
          <w:szCs w:val="21"/>
        </w:rPr>
        <w:t xml:space="preserve">).</w:t>
      </w:r>
    </w:p>
    <w:p>
      <w:pPr>
        <w:pStyle w:val="ListParagraph"/>
        <w:numPr>
          <w:ilvl w:val="0"/>
          <w:numId w:val="1"/>
        </w:numPr>
        <w:spacing w:after="60" w:line="260"/>
      </w:pPr>
      <w:r>
        <w:rPr>
          <w:rFonts w:ascii="Arial" w:cs="Arial" w:eastAsia="Arial" w:hAnsi="Arial"/>
          <w:color w:val="1E293B"/>
          <w:sz w:val="21"/>
          <w:szCs w:val="21"/>
        </w:rPr>
        <w:t xml:space="preserve">In the </w:t>
      </w:r>
      <w:r>
        <w:rPr>
          <w:rFonts w:ascii="Arial" w:cs="Arial" w:eastAsia="Arial" w:hAnsi="Arial"/>
          <w:b/>
          <w:bCs/>
          <w:color w:val="0F172A"/>
          <w:sz w:val="21"/>
          <w:szCs w:val="21"/>
        </w:rPr>
        <w:t xml:space="preserve">OAuth Scopes</w:t>
      </w:r>
      <w:r>
        <w:rPr>
          <w:rFonts w:ascii="Arial" w:cs="Arial" w:eastAsia="Arial" w:hAnsi="Arial"/>
          <w:color w:val="1E293B"/>
          <w:sz w:val="21"/>
          <w:szCs w:val="21"/>
        </w:rPr>
        <w:t xml:space="preserve"> field, paste the exact comma-delimited scope string:</w:t>
      </w:r>
    </w:p>
    <w:p>
      <w:pPr>
        <w:pBdr>
          <w:top w:val="single" w:color="CBD5E1" w:sz="6" w:space="60"/>
          <w:left w:val="single" w:color="3B82F6" w:sz="18" w:space="100"/>
          <w:bottom w:val="single" w:color="CBD5E1" w:sz="6" w:space="60"/>
          <w:right w:val="single" w:color="CBD5E1" w:sz="6" w:space="60"/>
        </w:pBdr>
        <w:shd w:fill="F8FAFC" w:val="clear"/>
        <w:spacing w:after="140" w:before="120"/>
        <w:ind w:left="400" w:right="200"/>
      </w:pPr>
      <w:r>
        <w:rPr>
          <w:rFonts w:ascii="Consolas" w:cs="Consolas" w:eastAsia="Consolas" w:hAnsi="Consolas"/>
          <w:color w:val="0F172A"/>
          <w:sz w:val="19"/>
          <w:szCs w:val="19"/>
        </w:rPr>
        <w:t xml:space="preserve">https://www.googleapis.com/auth/cloud-platform,https://www.googleapis.com/auth/discoveryengine,https://www.googleapis.com/auth/gmail.send,https://www.googleapis.com/auth/userinfo.email</w:t>
      </w:r>
    </w:p>
    <w:p>
      <w:pPr>
        <w:pStyle w:val="ListParagraph"/>
        <w:numPr>
          <w:ilvl w:val="0"/>
          <w:numId w:val="1"/>
        </w:numPr>
        <w:spacing w:after="60" w:line="260"/>
      </w:pPr>
      <w:r>
        <w:rPr>
          <w:rFonts w:ascii="Arial" w:cs="Arial" w:eastAsia="Arial" w:hAnsi="Arial"/>
          <w:color w:val="1E293B"/>
          <w:sz w:val="21"/>
          <w:szCs w:val="21"/>
        </w:rPr>
        <w:t xml:space="preserve">Click </w:t>
      </w:r>
      <w:r>
        <w:rPr>
          <w:rFonts w:ascii="Arial" w:cs="Arial" w:eastAsia="Arial" w:hAnsi="Arial"/>
          <w:b/>
          <w:bCs/>
          <w:color w:val="0F172A"/>
          <w:sz w:val="21"/>
          <w:szCs w:val="21"/>
        </w:rPr>
        <w:t xml:space="preserve">Authorize</w:t>
      </w:r>
      <w:r>
        <w:rPr>
          <w:rFonts w:ascii="Arial" w:cs="Arial" w:eastAsia="Arial" w:hAnsi="Arial"/>
          <w:color w:val="1E293B"/>
          <w:sz w:val="21"/>
          <w:szCs w:val="21"/>
        </w:rPr>
        <w:t xml:space="preserve">.</w:t>
      </w:r>
    </w:p>
    <w:p>
      <w:pPr>
        <w:pStyle w:val="Heading2"/>
        <w:spacing w:after="120" w:before="280"/>
      </w:pPr>
      <w:r>
        <w:t xml:space="preserve">Pattern B: Microsoft Entra ID / Okta via Workforce Identity Federation (WiF)</w:t>
      </w:r>
    </w:p>
    <w:p>
      <w:pPr>
        <w:spacing w:after="120" w:line="276"/>
      </w:pPr>
      <w:r>
        <w:rPr>
          <w:rFonts w:ascii="Arial" w:cs="Arial" w:eastAsia="Arial" w:hAnsi="Arial"/>
          <w:color w:val="1E293B"/>
          <w:sz w:val="21"/>
          <w:szCs w:val="21"/>
        </w:rPr>
        <w:t xml:space="preserve">For organizations authenticating via external Identity Providers (Microsoft Entra ID, Okta, Ping Identity), the platform uses Google Cloud Workforce Identity Federation and Security Token Service (STS).</w:t>
      </w:r>
    </w:p>
    <w:p>
      <w:pPr>
        <w:spacing w:after="80" w:line="260"/>
        <w:ind w:left="360" w:hanging="360"/>
      </w:pPr>
      <w:r>
        <w:rPr>
          <w:rFonts w:ascii="Arial" w:cs="Arial" w:eastAsia="Arial" w:hAnsi="Arial"/>
          <w:b/>
          <w:bCs/>
          <w:color w:val="1A73E8"/>
          <w:sz w:val="21"/>
          <w:szCs w:val="21"/>
        </w:rPr>
        <w:t xml:space="preserve">1.  </w:t>
      </w:r>
      <w:r>
        <w:rPr>
          <w:rFonts w:ascii="Arial" w:cs="Arial" w:eastAsia="Arial" w:hAnsi="Arial"/>
          <w:color w:val="1E293B"/>
          <w:sz w:val="21"/>
          <w:szCs w:val="21"/>
        </w:rPr>
        <w:t xml:space="preserve">Place your Workforce Identity Federation pool configuration in </w:t>
      </w:r>
      <w:r>
        <w:rPr>
          <w:rFonts w:ascii="Consolas" w:cs="Consolas" w:eastAsia="Consolas" w:hAnsi="Consolas"/>
          <w:color w:val="0F172A"/>
          <w:sz w:val="19"/>
          <w:szCs w:val="19"/>
          <w:shd w:fill="F1F5F9" w:val="clear"/>
        </w:rPr>
        <w:t xml:space="preserve">workforce-identity-config.json</w:t>
      </w:r>
      <w:r>
        <w:rPr>
          <w:rFonts w:ascii="Arial" w:cs="Arial" w:eastAsia="Arial" w:hAnsi="Arial"/>
          <w:color w:val="1E293B"/>
          <w:sz w:val="21"/>
          <w:szCs w:val="21"/>
        </w:rPr>
        <w:t xml:space="preserve">.</w:t>
      </w:r>
    </w:p>
    <w:p>
      <w:pPr>
        <w:spacing w:after="80" w:line="260"/>
        <w:ind w:left="360" w:hanging="360"/>
      </w:pPr>
      <w:r>
        <w:rPr>
          <w:rFonts w:ascii="Arial" w:cs="Arial" w:eastAsia="Arial" w:hAnsi="Arial"/>
          <w:b/>
          <w:bCs/>
          <w:color w:val="1A73E8"/>
          <w:sz w:val="21"/>
          <w:szCs w:val="21"/>
        </w:rPr>
        <w:t xml:space="preserve">2.  </w:t>
      </w:r>
      <w:r>
        <w:rPr>
          <w:rFonts w:ascii="Arial" w:cs="Arial" w:eastAsia="Arial" w:hAnsi="Arial"/>
          <w:color w:val="1E293B"/>
          <w:sz w:val="21"/>
          <w:szCs w:val="21"/>
        </w:rPr>
        <w:t xml:space="preserve">Provide RSA signing keys (</w:t>
      </w:r>
      <w:r>
        <w:rPr>
          <w:rFonts w:ascii="Consolas" w:cs="Consolas" w:eastAsia="Consolas" w:hAnsi="Consolas"/>
          <w:color w:val="0F172A"/>
          <w:sz w:val="19"/>
          <w:szCs w:val="19"/>
          <w:shd w:fill="F1F5F9" w:val="clear"/>
        </w:rPr>
        <w:t xml:space="preserve">wif-migration-key.pem</w:t>
      </w:r>
      <w:r>
        <w:rPr>
          <w:rFonts w:ascii="Arial" w:cs="Arial" w:eastAsia="Arial" w:hAnsi="Arial"/>
          <w:color w:val="1E293B"/>
          <w:sz w:val="21"/>
          <w:szCs w:val="21"/>
        </w:rPr>
        <w:t xml:space="preserve"> and </w:t>
      </w:r>
      <w:r>
        <w:rPr>
          <w:rFonts w:ascii="Consolas" w:cs="Consolas" w:eastAsia="Consolas" w:hAnsi="Consolas"/>
          <w:color w:val="0F172A"/>
          <w:sz w:val="19"/>
          <w:szCs w:val="19"/>
          <w:shd w:fill="F1F5F9" w:val="clear"/>
        </w:rPr>
        <w:t xml:space="preserve">wif-migration-jwks.json</w:t>
      </w:r>
      <w:r>
        <w:rPr>
          <w:rFonts w:ascii="Arial" w:cs="Arial" w:eastAsia="Arial" w:hAnsi="Arial"/>
          <w:color w:val="1E293B"/>
          <w:sz w:val="21"/>
          <w:szCs w:val="21"/>
        </w:rPr>
        <w:t xml:space="preserve">) to sign user subject token assertions.</w:t>
      </w:r>
    </w:p>
    <w:p>
      <w:pPr>
        <w:spacing w:after="80" w:line="260"/>
        <w:ind w:left="360" w:hanging="360"/>
      </w:pPr>
      <w:r>
        <w:rPr>
          <w:rFonts w:ascii="Arial" w:cs="Arial" w:eastAsia="Arial" w:hAnsi="Arial"/>
          <w:b/>
          <w:bCs/>
          <w:color w:val="1A73E8"/>
          <w:sz w:val="21"/>
          <w:szCs w:val="21"/>
        </w:rPr>
        <w:t xml:space="preserve">3.  </w:t>
      </w:r>
      <w:r>
        <w:rPr>
          <w:rFonts w:ascii="Arial" w:cs="Arial" w:eastAsia="Arial" w:hAnsi="Arial"/>
          <w:color w:val="1E293B"/>
          <w:sz w:val="21"/>
          <w:szCs w:val="21"/>
        </w:rPr>
        <w:t xml:space="preserve">When migrating from Entra ID to Google Cloud Identity, the tool mints WiF STS tokens for source discovery and switches to DWD tokens for target restoration.</w:t>
      </w:r>
    </w:p>
    <w:p>
      <w:pPr>
        <w:pBdr>
          <w:left w:val="single" w:color="16A34A" w:sz="24" w:space="140"/>
        </w:pBdr>
        <w:shd w:fill="F0FDF4" w:val="clear"/>
        <w:spacing w:after="160" w:before="140"/>
        <w:ind w:left="400" w:right="200"/>
      </w:pPr>
      <w:r>
        <w:rPr>
          <w:rFonts w:ascii="Arial" w:cs="Arial" w:eastAsia="Arial" w:hAnsi="Arial"/>
          <w:b/>
          <w:bCs/>
          <w:color w:val="16A34A"/>
          <w:sz w:val="20"/>
          <w:szCs w:val="20"/>
        </w:rPr>
        <w:t xml:space="preserve">💡 TIP: </w:t>
      </w:r>
      <w:r>
        <w:rPr>
          <w:rFonts w:ascii="Arial" w:cs="Arial" w:eastAsia="Arial" w:hAnsi="Arial"/>
          <w:b/>
          <w:bCs/>
          <w:color w:val="0F172A"/>
          <w:sz w:val="20"/>
          <w:szCs w:val="20"/>
        </w:rPr>
        <w:t xml:space="preserve">Keyless Architecture &amp; Organization Policy Immunity
</w:t>
      </w:r>
      <w:r>
        <w:rPr>
          <w:rFonts w:ascii="Arial" w:cs="Arial" w:eastAsia="Arial" w:hAnsi="Arial"/>
          <w:color w:val="1E293B"/>
          <w:sz w:val="21"/>
          <w:szCs w:val="21"/>
        </w:rPr>
        <w:t xml:space="preserve">Workforce Identity Federation does not require Service Account keys (sa-dwd-key.json). STS token exchanges are entirely immune to iam.disableServiceAccountKeyCreation and iam.disableServiceAccountKeyUpload organization policies.</w:t>
      </w:r>
    </w:p>
    <w:p>
      <w:pPr>
        <w:spacing w:after="80" w:before="160"/>
        <w:jc w:val="center"/>
      </w:pPr>
      <w:r>
        <w:drawing>
          <wp:inline distT="0" distB="0" distL="0" distR="0">
            <wp:extent cx="5334000" cy="33337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Figure 1.2: Interactive Authentication &amp; Workforce Identity Federation (WiF) Setup Wizard</w:t>
      </w:r>
    </w:p>
    <w:p>
      <w:pPr>
        <w:pStyle w:val="Heading1"/>
        <w:spacing w:after="140" w:before="360"/>
      </w:pPr>
      <w:r>
        <w:t xml:space="preserve">6. Installation, Local Build &amp; Configuration</w:t>
      </w:r>
    </w:p>
    <w:p>
      <w:pPr>
        <w:spacing w:after="120" w:line="276"/>
      </w:pPr>
      <w:r>
        <w:rPr>
          <w:rFonts w:ascii="Arial" w:cs="Arial" w:eastAsia="Arial" w:hAnsi="Arial"/>
          <w:color w:val="1E293B"/>
          <w:sz w:val="21"/>
          <w:szCs w:val="21"/>
        </w:rPr>
        <w:t xml:space="preserve">Follow these steps to clone, build, and configure the platform on your administrator workstation:</w:t>
      </w:r>
    </w:p>
    <w:p>
      <w:pPr>
        <w:spacing w:after="80" w:line="260"/>
        <w:ind w:left="360" w:hanging="360"/>
      </w:pPr>
      <w:r>
        <w:rPr>
          <w:rFonts w:ascii="Arial" w:cs="Arial" w:eastAsia="Arial" w:hAnsi="Arial"/>
          <w:b/>
          <w:bCs/>
          <w:color w:val="1A73E8"/>
          <w:sz w:val="21"/>
          <w:szCs w:val="21"/>
        </w:rPr>
        <w:t xml:space="preserve">1.  </w:t>
      </w:r>
      <w:r>
        <w:rPr>
          <w:rFonts w:ascii="Arial" w:cs="Arial" w:eastAsia="Arial" w:hAnsi="Arial"/>
          <w:color w:val="1E293B"/>
          <w:sz w:val="21"/>
          <w:szCs w:val="21"/>
        </w:rPr>
        <w:t xml:space="preserve">Clone the repository:</w:t>
      </w:r>
    </w:p>
    <w:p>
      <w:pPr>
        <w:pBdr>
          <w:top w:val="single" w:color="CBD5E1" w:sz="6" w:space="60"/>
          <w:left w:val="single" w:color="3B82F6" w:sz="18" w:space="100"/>
          <w:bottom w:val="single" w:color="CBD5E1" w:sz="6" w:space="60"/>
          <w:right w:val="single" w:color="CBD5E1" w:sz="6" w:space="60"/>
        </w:pBdr>
        <w:shd w:fill="F8FAFC" w:val="clear"/>
        <w:spacing w:after="140" w:before="120"/>
        <w:ind w:left="400" w:right="200"/>
      </w:pPr>
      <w:r>
        <w:rPr>
          <w:rFonts w:ascii="Consolas" w:cs="Consolas" w:eastAsia="Consolas" w:hAnsi="Consolas"/>
          <w:color w:val="0F172A"/>
          <w:sz w:val="19"/>
          <w:szCs w:val="19"/>
        </w:rPr>
        <w:t xml:space="preserve">git clone https://github.com/your-org/gemini-enterprise-admin-migration-tool.git
</w:t>
      </w:r>
      <w:r>
        <w:rPr>
          <w:rFonts w:ascii="Consolas" w:cs="Consolas" w:eastAsia="Consolas" w:hAnsi="Consolas"/>
          <w:color w:val="0F172A"/>
          <w:sz w:val="19"/>
          <w:szCs w:val="19"/>
        </w:rPr>
        <w:t xml:space="preserve">cd gemini-enterprise-admin-migration-tool</w:t>
      </w:r>
    </w:p>
    <w:p>
      <w:pPr>
        <w:spacing w:after="80" w:line="260"/>
        <w:ind w:left="360" w:hanging="360"/>
      </w:pPr>
      <w:r>
        <w:rPr>
          <w:rFonts w:ascii="Arial" w:cs="Arial" w:eastAsia="Arial" w:hAnsi="Arial"/>
          <w:b/>
          <w:bCs/>
          <w:color w:val="1A73E8"/>
          <w:sz w:val="21"/>
          <w:szCs w:val="21"/>
        </w:rPr>
        <w:t xml:space="preserve">2.  </w:t>
      </w:r>
      <w:r>
        <w:rPr>
          <w:rFonts w:ascii="Arial" w:cs="Arial" w:eastAsia="Arial" w:hAnsi="Arial"/>
          <w:color w:val="1E293B"/>
          <w:sz w:val="21"/>
          <w:szCs w:val="21"/>
        </w:rPr>
        <w:t xml:space="preserve">Install Node.js dependencies:</w:t>
      </w:r>
    </w:p>
    <w:p>
      <w:pPr>
        <w:pBdr>
          <w:top w:val="single" w:color="CBD5E1" w:sz="6" w:space="60"/>
          <w:left w:val="single" w:color="3B82F6" w:sz="18" w:space="100"/>
          <w:bottom w:val="single" w:color="CBD5E1" w:sz="6" w:space="60"/>
          <w:right w:val="single" w:color="CBD5E1" w:sz="6" w:space="60"/>
        </w:pBdr>
        <w:shd w:fill="F8FAFC" w:val="clear"/>
        <w:spacing w:after="140" w:before="120"/>
        <w:ind w:left="400" w:right="200"/>
      </w:pPr>
      <w:r>
        <w:rPr>
          <w:rFonts w:ascii="Consolas" w:cs="Consolas" w:eastAsia="Consolas" w:hAnsi="Consolas"/>
          <w:color w:val="0F172A"/>
          <w:sz w:val="19"/>
          <w:szCs w:val="19"/>
        </w:rPr>
        <w:t xml:space="preserve">npm install</w:t>
      </w:r>
    </w:p>
    <w:p>
      <w:pPr>
        <w:spacing w:after="80" w:line="260"/>
        <w:ind w:left="360" w:hanging="360"/>
      </w:pPr>
      <w:r>
        <w:rPr>
          <w:rFonts w:ascii="Arial" w:cs="Arial" w:eastAsia="Arial" w:hAnsi="Arial"/>
          <w:b/>
          <w:bCs/>
          <w:color w:val="1A73E8"/>
          <w:sz w:val="21"/>
          <w:szCs w:val="21"/>
        </w:rPr>
        <w:t xml:space="preserve">3.  </w:t>
      </w:r>
      <w:r>
        <w:rPr>
          <w:rFonts w:ascii="Arial" w:cs="Arial" w:eastAsia="Arial" w:hAnsi="Arial"/>
          <w:color w:val="1E293B"/>
          <w:sz w:val="21"/>
          <w:szCs w:val="21"/>
        </w:rPr>
        <w:t xml:space="preserve">Compile TypeScript to JavaScript production artifacts:</w:t>
      </w:r>
    </w:p>
    <w:p>
      <w:pPr>
        <w:pBdr>
          <w:top w:val="single" w:color="CBD5E1" w:sz="6" w:space="60"/>
          <w:left w:val="single" w:color="3B82F6" w:sz="18" w:space="100"/>
          <w:bottom w:val="single" w:color="CBD5E1" w:sz="6" w:space="60"/>
          <w:right w:val="single" w:color="CBD5E1" w:sz="6" w:space="60"/>
        </w:pBdr>
        <w:shd w:fill="F8FAFC" w:val="clear"/>
        <w:spacing w:after="140" w:before="120"/>
        <w:ind w:left="400" w:right="200"/>
      </w:pPr>
      <w:r>
        <w:rPr>
          <w:rFonts w:ascii="Consolas" w:cs="Consolas" w:eastAsia="Consolas" w:hAnsi="Consolas"/>
          <w:color w:val="0F172A"/>
          <w:sz w:val="19"/>
          <w:szCs w:val="19"/>
        </w:rPr>
        <w:t xml:space="preserve">npm run build</w:t>
      </w:r>
    </w:p>
    <w:p>
      <w:pPr>
        <w:spacing w:after="80" w:line="260"/>
        <w:ind w:left="360" w:hanging="360"/>
      </w:pPr>
      <w:r>
        <w:rPr>
          <w:rFonts w:ascii="Arial" w:cs="Arial" w:eastAsia="Arial" w:hAnsi="Arial"/>
          <w:b/>
          <w:bCs/>
          <w:color w:val="1A73E8"/>
          <w:sz w:val="21"/>
          <w:szCs w:val="21"/>
        </w:rPr>
        <w:t xml:space="preserve">4.  </w:t>
      </w:r>
      <w:r>
        <w:rPr>
          <w:rFonts w:ascii="Arial" w:cs="Arial" w:eastAsia="Arial" w:hAnsi="Arial"/>
          <w:color w:val="1E293B"/>
          <w:sz w:val="21"/>
          <w:szCs w:val="21"/>
        </w:rPr>
        <w:t xml:space="preserve">Configure </w:t>
      </w:r>
      <w:r>
        <w:rPr>
          <w:rFonts w:ascii="Consolas" w:cs="Consolas" w:eastAsia="Consolas" w:hAnsi="Consolas"/>
          <w:color w:val="0F172A"/>
          <w:sz w:val="19"/>
          <w:szCs w:val="19"/>
          <w:shd w:fill="F1F5F9" w:val="clear"/>
        </w:rPr>
        <w:t xml:space="preserve">migration-config.json</w:t>
      </w:r>
      <w:r>
        <w:rPr>
          <w:rFonts w:ascii="Arial" w:cs="Arial" w:eastAsia="Arial" w:hAnsi="Arial"/>
          <w:color w:val="1E293B"/>
          <w:sz w:val="21"/>
          <w:szCs w:val="21"/>
        </w:rPr>
        <w:t xml:space="preserve">:</w:t>
      </w:r>
    </w:p>
    <w:p>
      <w:pPr>
        <w:spacing w:after="120" w:line="276"/>
      </w:pPr>
      <w:r>
        <w:rPr>
          <w:rFonts w:ascii="Arial" w:cs="Arial" w:eastAsia="Arial" w:hAnsi="Arial"/>
          <w:color w:val="1E293B"/>
          <w:sz w:val="21"/>
          <w:szCs w:val="21"/>
        </w:rPr>
        <w:t xml:space="preserve">Copy </w:t>
      </w:r>
      <w:r>
        <w:rPr>
          <w:rFonts w:ascii="Consolas" w:cs="Consolas" w:eastAsia="Consolas" w:hAnsi="Consolas"/>
          <w:color w:val="0F172A"/>
          <w:sz w:val="19"/>
          <w:szCs w:val="19"/>
          <w:shd w:fill="F1F5F9" w:val="clear"/>
        </w:rPr>
        <w:t xml:space="preserve">config.example.json</w:t>
      </w:r>
      <w:r>
        <w:rPr>
          <w:rFonts w:ascii="Arial" w:cs="Arial" w:eastAsia="Arial" w:hAnsi="Arial"/>
          <w:color w:val="1E293B"/>
          <w:sz w:val="21"/>
          <w:szCs w:val="21"/>
        </w:rPr>
        <w:t xml:space="preserve"> to </w:t>
      </w:r>
      <w:r>
        <w:rPr>
          <w:rFonts w:ascii="Consolas" w:cs="Consolas" w:eastAsia="Consolas" w:hAnsi="Consolas"/>
          <w:color w:val="0F172A"/>
          <w:sz w:val="19"/>
          <w:szCs w:val="19"/>
          <w:shd w:fill="F1F5F9" w:val="clear"/>
        </w:rPr>
        <w:t xml:space="preserve">migration-config.json</w:t>
      </w:r>
      <w:r>
        <w:rPr>
          <w:rFonts w:ascii="Arial" w:cs="Arial" w:eastAsia="Arial" w:hAnsi="Arial"/>
          <w:color w:val="1E293B"/>
          <w:sz w:val="21"/>
          <w:szCs w:val="21"/>
        </w:rPr>
        <w:t xml:space="preserve"> and customize your source and target environments:</w:t>
      </w:r>
    </w:p>
    <w:p>
      <w:pPr>
        <w:pBdr>
          <w:top w:val="single" w:color="CBD5E1" w:sz="6" w:space="60"/>
          <w:left w:val="single" w:color="3B82F6" w:sz="18" w:space="100"/>
          <w:bottom w:val="single" w:color="CBD5E1" w:sz="6" w:space="60"/>
          <w:right w:val="single" w:color="CBD5E1" w:sz="6" w:space="60"/>
        </w:pBdr>
        <w:shd w:fill="F8FAFC" w:val="clear"/>
        <w:spacing w:after="140" w:before="120"/>
        <w:ind w:left="400" w:right="200"/>
      </w:pPr>
      <w:r>
        <w:rPr>
          <w:rFonts w:ascii="Consolas" w:cs="Consolas" w:eastAsia="Consolas" w:hAnsi="Consolas"/>
          <w:color w:val="0F172A"/>
          <w:sz w:val="19"/>
          <w:szCs w:val="19"/>
        </w:rPr>
        <w:t xml:space="preserve">{
</w:t>
      </w:r>
      <w:r>
        <w:rPr>
          <w:rFonts w:ascii="Consolas" w:cs="Consolas" w:eastAsia="Consolas" w:hAnsi="Consolas"/>
          <w:color w:val="0F172A"/>
          <w:sz w:val="19"/>
          <w:szCs w:val="19"/>
        </w:rPr>
        <w:t xml:space="preserve">  "source": {
</w:t>
      </w:r>
      <w:r>
        <w:rPr>
          <w:rFonts w:ascii="Consolas" w:cs="Consolas" w:eastAsia="Consolas" w:hAnsi="Consolas"/>
          <w:color w:val="0F172A"/>
          <w:sz w:val="19"/>
          <w:szCs w:val="19"/>
        </w:rPr>
        <w:t xml:space="preserve">    "projectId": "source-gcp-project",
</w:t>
      </w:r>
      <w:r>
        <w:rPr>
          <w:rFonts w:ascii="Consolas" w:cs="Consolas" w:eastAsia="Consolas" w:hAnsi="Consolas"/>
          <w:color w:val="0F172A"/>
          <w:sz w:val="19"/>
          <w:szCs w:val="19"/>
        </w:rPr>
        <w:t xml:space="preserve">    "appLocation": "global",
</w:t>
      </w:r>
      <w:r>
        <w:rPr>
          <w:rFonts w:ascii="Consolas" w:cs="Consolas" w:eastAsia="Consolas" w:hAnsi="Consolas"/>
          <w:color w:val="0F172A"/>
          <w:sz w:val="19"/>
          <w:szCs w:val="19"/>
        </w:rPr>
        <w:t xml:space="preserve">    "collectionId": "default_collection",
</w:t>
      </w:r>
      <w:r>
        <w:rPr>
          <w:rFonts w:ascii="Consolas" w:cs="Consolas" w:eastAsia="Consolas" w:hAnsi="Consolas"/>
          <w:color w:val="0F172A"/>
          <w:sz w:val="19"/>
          <w:szCs w:val="19"/>
        </w:rPr>
        <w:t xml:space="preserve">    "appId": "gemini-source-app",
</w:t>
      </w:r>
      <w:r>
        <w:rPr>
          <w:rFonts w:ascii="Consolas" w:cs="Consolas" w:eastAsia="Consolas" w:hAnsi="Consolas"/>
          <w:color w:val="0F172A"/>
          <w:sz w:val="19"/>
          <w:szCs w:val="19"/>
        </w:rPr>
        <w:t xml:space="preserve">    "assistantId": "default_assistant"
</w:t>
      </w:r>
      <w:r>
        <w:rPr>
          <w:rFonts w:ascii="Consolas" w:cs="Consolas" w:eastAsia="Consolas" w:hAnsi="Consolas"/>
          <w:color w:val="0F172A"/>
          <w:sz w:val="19"/>
          <w:szCs w:val="19"/>
        </w:rPr>
        <w:t xml:space="preserve">  },
</w:t>
      </w:r>
      <w:r>
        <w:rPr>
          <w:rFonts w:ascii="Consolas" w:cs="Consolas" w:eastAsia="Consolas" w:hAnsi="Consolas"/>
          <w:color w:val="0F172A"/>
          <w:sz w:val="19"/>
          <w:szCs w:val="19"/>
        </w:rPr>
        <w:t xml:space="preserve">  "target": {
</w:t>
      </w:r>
      <w:r>
        <w:rPr>
          <w:rFonts w:ascii="Consolas" w:cs="Consolas" w:eastAsia="Consolas" w:hAnsi="Consolas"/>
          <w:color w:val="0F172A"/>
          <w:sz w:val="19"/>
          <w:szCs w:val="19"/>
        </w:rPr>
        <w:t xml:space="preserve">    "projectId": "target-gcp-project",
</w:t>
      </w:r>
      <w:r>
        <w:rPr>
          <w:rFonts w:ascii="Consolas" w:cs="Consolas" w:eastAsia="Consolas" w:hAnsi="Consolas"/>
          <w:color w:val="0F172A"/>
          <w:sz w:val="19"/>
          <w:szCs w:val="19"/>
        </w:rPr>
        <w:t xml:space="preserve">    "appLocation": "global",
</w:t>
      </w:r>
      <w:r>
        <w:rPr>
          <w:rFonts w:ascii="Consolas" w:cs="Consolas" w:eastAsia="Consolas" w:hAnsi="Consolas"/>
          <w:color w:val="0F172A"/>
          <w:sz w:val="19"/>
          <w:szCs w:val="19"/>
        </w:rPr>
        <w:t xml:space="preserve">    "collectionId": "default_collection",
</w:t>
      </w:r>
      <w:r>
        <w:rPr>
          <w:rFonts w:ascii="Consolas" w:cs="Consolas" w:eastAsia="Consolas" w:hAnsi="Consolas"/>
          <w:color w:val="0F172A"/>
          <w:sz w:val="19"/>
          <w:szCs w:val="19"/>
        </w:rPr>
        <w:t xml:space="preserve">    "appId": "gemini-target-app",
</w:t>
      </w:r>
      <w:r>
        <w:rPr>
          <w:rFonts w:ascii="Consolas" w:cs="Consolas" w:eastAsia="Consolas" w:hAnsi="Consolas"/>
          <w:color w:val="0F172A"/>
          <w:sz w:val="19"/>
          <w:szCs w:val="19"/>
        </w:rPr>
        <w:t xml:space="preserve">    "assistantId": "default_assistant"
</w:t>
      </w:r>
      <w:r>
        <w:rPr>
          <w:rFonts w:ascii="Consolas" w:cs="Consolas" w:eastAsia="Consolas" w:hAnsi="Consolas"/>
          <w:color w:val="0F172A"/>
          <w:sz w:val="19"/>
          <w:szCs w:val="19"/>
        </w:rPr>
        <w:t xml:space="preserve">  },
</w:t>
      </w:r>
      <w:r>
        <w:rPr>
          <w:rFonts w:ascii="Consolas" w:cs="Consolas" w:eastAsia="Consolas" w:hAnsi="Consolas"/>
          <w:color w:val="0F172A"/>
          <w:sz w:val="19"/>
          <w:szCs w:val="19"/>
        </w:rPr>
        <w:t xml:space="preserve">  "options": {
</w:t>
      </w:r>
      <w:r>
        <w:rPr>
          <w:rFonts w:ascii="Consolas" w:cs="Consolas" w:eastAsia="Consolas" w:hAnsi="Consolas"/>
          <w:color w:val="0F172A"/>
          <w:sz w:val="19"/>
          <w:szCs w:val="19"/>
        </w:rPr>
        <w:t xml:space="preserve">    "dryRun": false,
</w:t>
      </w:r>
      <w:r>
        <w:rPr>
          <w:rFonts w:ascii="Consolas" w:cs="Consolas" w:eastAsia="Consolas" w:hAnsi="Consolas"/>
          <w:color w:val="0F172A"/>
          <w:sz w:val="19"/>
          <w:szCs w:val="19"/>
        </w:rPr>
        <w:t xml:space="preserve">    "migrateNotebooks": true,
</w:t>
      </w:r>
      <w:r>
        <w:rPr>
          <w:rFonts w:ascii="Consolas" w:cs="Consolas" w:eastAsia="Consolas" w:hAnsi="Consolas"/>
          <w:color w:val="0F172A"/>
          <w:sz w:val="19"/>
          <w:szCs w:val="19"/>
        </w:rPr>
        <w:t xml:space="preserve">    "migrateAgents": true,
</w:t>
      </w:r>
      <w:r>
        <w:rPr>
          <w:rFonts w:ascii="Consolas" w:cs="Consolas" w:eastAsia="Consolas" w:hAnsi="Consolas"/>
          <w:color w:val="0F172A"/>
          <w:sz w:val="19"/>
          <w:szCs w:val="19"/>
        </w:rPr>
        <w:t xml:space="preserve">    "migrateSkills": true,
</w:t>
      </w:r>
      <w:r>
        <w:rPr>
          <w:rFonts w:ascii="Consolas" w:cs="Consolas" w:eastAsia="Consolas" w:hAnsi="Consolas"/>
          <w:color w:val="0F172A"/>
          <w:sz w:val="19"/>
          <w:szCs w:val="19"/>
        </w:rPr>
        <w:t xml:space="preserve">    "migrateSessions": true,
</w:t>
      </w:r>
      <w:r>
        <w:rPr>
          <w:rFonts w:ascii="Consolas" w:cs="Consolas" w:eastAsia="Consolas" w:hAnsi="Consolas"/>
          <w:color w:val="0F172A"/>
          <w:sz w:val="19"/>
          <w:szCs w:val="19"/>
        </w:rPr>
        <w:t xml:space="preserve">    "migrateMemories": true,
</w:t>
      </w:r>
      <w:r>
        <w:rPr>
          <w:rFonts w:ascii="Consolas" w:cs="Consolas" w:eastAsia="Consolas" w:hAnsi="Consolas"/>
          <w:color w:val="0F172A"/>
          <w:sz w:val="19"/>
          <w:szCs w:val="19"/>
        </w:rPr>
        <w:t xml:space="preserve">    "exportArtifacts": true,
</w:t>
      </w:r>
      <w:r>
        <w:rPr>
          <w:rFonts w:ascii="Consolas" w:cs="Consolas" w:eastAsia="Consolas" w:hAnsi="Consolas"/>
          <w:color w:val="0F172A"/>
          <w:sz w:val="19"/>
          <w:szCs w:val="19"/>
        </w:rPr>
        <w:t xml:space="preserve">    "userFilter": ["*@company.com"],
</w:t>
      </w:r>
      <w:r>
        <w:rPr>
          <w:rFonts w:ascii="Consolas" w:cs="Consolas" w:eastAsia="Consolas" w:hAnsi="Consolas"/>
          <w:color w:val="0F172A"/>
          <w:sz w:val="19"/>
          <w:szCs w:val="19"/>
        </w:rPr>
        <w:t xml:space="preserve">    "promptForAdminNotebookHitl": false,
</w:t>
      </w:r>
      <w:r>
        <w:rPr>
          <w:rFonts w:ascii="Consolas" w:cs="Consolas" w:eastAsia="Consolas" w:hAnsi="Consolas"/>
          <w:color w:val="0F172A"/>
          <w:sz w:val="19"/>
          <w:szCs w:val="19"/>
        </w:rPr>
        <w:t xml:space="preserve">    "promptForConnectorHitl": true
</w:t>
      </w:r>
      <w:r>
        <w:rPr>
          <w:rFonts w:ascii="Consolas" w:cs="Consolas" w:eastAsia="Consolas" w:hAnsi="Consolas"/>
          <w:color w:val="0F172A"/>
          <w:sz w:val="19"/>
          <w:szCs w:val="19"/>
        </w:rPr>
        <w:t xml:space="preserve">  },
</w:t>
      </w:r>
      <w:r>
        <w:rPr>
          <w:rFonts w:ascii="Consolas" w:cs="Consolas" w:eastAsia="Consolas" w:hAnsi="Consolas"/>
          <w:color w:val="0F172A"/>
          <w:sz w:val="19"/>
          <w:szCs w:val="19"/>
        </w:rPr>
        <w:t xml:space="preserve">  "collectionMapping": {
</w:t>
      </w:r>
      <w:r>
        <w:rPr>
          <w:rFonts w:ascii="Consolas" w:cs="Consolas" w:eastAsia="Consolas" w:hAnsi="Consolas"/>
          <w:color w:val="0F172A"/>
          <w:sz w:val="19"/>
          <w:szCs w:val="19"/>
        </w:rPr>
        <w:t xml:space="preserve">    "github_1773757636775": "github_1780931139999"
</w:t>
      </w:r>
      <w:r>
        <w:rPr>
          <w:rFonts w:ascii="Consolas" w:cs="Consolas" w:eastAsia="Consolas" w:hAnsi="Consolas"/>
          <w:color w:val="0F172A"/>
          <w:sz w:val="19"/>
          <w:szCs w:val="19"/>
        </w:rPr>
        <w:t xml:space="preserve">  },
</w:t>
      </w:r>
      <w:r>
        <w:rPr>
          <w:rFonts w:ascii="Consolas" w:cs="Consolas" w:eastAsia="Consolas" w:hAnsi="Consolas"/>
          <w:color w:val="0F172A"/>
          <w:sz w:val="19"/>
          <w:szCs w:val="19"/>
        </w:rPr>
        <w:t xml:space="preserve">  "auth": {
</w:t>
      </w:r>
      <w:r>
        <w:rPr>
          <w:rFonts w:ascii="Consolas" w:cs="Consolas" w:eastAsia="Consolas" w:hAnsi="Consolas"/>
          <w:color w:val="0F172A"/>
          <w:sz w:val="19"/>
          <w:szCs w:val="19"/>
        </w:rPr>
        <w:t xml:space="preserve">    "authType": "SERVICE_ACCOUNT_KEY",
</w:t>
      </w:r>
      <w:r>
        <w:rPr>
          <w:rFonts w:ascii="Consolas" w:cs="Consolas" w:eastAsia="Consolas" w:hAnsi="Consolas"/>
          <w:color w:val="0F172A"/>
          <w:sz w:val="19"/>
          <w:szCs w:val="19"/>
        </w:rPr>
        <w:t xml:space="preserve">    "serviceAccountKeyPath": "./sa-dwd-key.json"
</w:t>
      </w:r>
      <w:r>
        <w:rPr>
          <w:rFonts w:ascii="Consolas" w:cs="Consolas" w:eastAsia="Consolas" w:hAnsi="Consolas"/>
          <w:color w:val="0F172A"/>
          <w:sz w:val="19"/>
          <w:szCs w:val="19"/>
        </w:rPr>
        <w:t xml:space="preserve">  }
</w:t>
      </w:r>
      <w:r>
        <w:rPr>
          <w:rFonts w:ascii="Consolas" w:cs="Consolas" w:eastAsia="Consolas" w:hAnsi="Consolas"/>
          <w:color w:val="0F172A"/>
          <w:sz w:val="19"/>
          <w:szCs w:val="19"/>
        </w:rPr>
        <w:t xml:space="preserve">}</w:t>
      </w:r>
    </w:p>
    <w:p>
      <w:pPr>
        <w:pStyle w:val="Heading1"/>
        <w:spacing w:after="140" w:before="360"/>
      </w:pPr>
      <w:r>
        <w:t xml:space="preserve">7. Launching &amp; Validating the Console</w:t>
      </w:r>
    </w:p>
    <w:p>
      <w:pPr>
        <w:spacing w:after="120" w:line="276"/>
      </w:pPr>
      <w:r>
        <w:rPr>
          <w:rFonts w:ascii="Arial" w:cs="Arial" w:eastAsia="Arial" w:hAnsi="Arial"/>
          <w:color w:val="1E293B"/>
          <w:sz w:val="21"/>
          <w:szCs w:val="21"/>
        </w:rPr>
        <w:t xml:space="preserve">You can run the migration platform either via the interactive Web Console or directly as a headless CLI script:</w:t>
      </w:r>
    </w:p>
    <w:p>
      <w:pPr>
        <w:pStyle w:val="Heading2"/>
        <w:spacing w:after="120" w:before="280"/>
      </w:pPr>
      <w:r>
        <w:t xml:space="preserve">Option 1: Launch Local Web Console</w:t>
      </w:r>
    </w:p>
    <w:p>
      <w:pPr>
        <w:pBdr>
          <w:top w:val="single" w:color="CBD5E1" w:sz="6" w:space="60"/>
          <w:left w:val="single" w:color="3B82F6" w:sz="18" w:space="100"/>
          <w:bottom w:val="single" w:color="CBD5E1" w:sz="6" w:space="60"/>
          <w:right w:val="single" w:color="CBD5E1" w:sz="6" w:space="60"/>
        </w:pBdr>
        <w:shd w:fill="F8FAFC" w:val="clear"/>
        <w:spacing w:after="140" w:before="120"/>
        <w:ind w:left="400" w:right="200"/>
      </w:pPr>
      <w:r>
        <w:rPr>
          <w:rFonts w:ascii="Consolas" w:cs="Consolas" w:eastAsia="Consolas" w:hAnsi="Consolas"/>
          <w:color w:val="0F172A"/>
          <w:sz w:val="19"/>
          <w:szCs w:val="19"/>
        </w:rPr>
        <w:t xml:space="preserve">npm start
</w:t>
      </w:r>
      <w:r>
        <w:rPr>
          <w:rFonts w:ascii="Consolas" w:cs="Consolas" w:eastAsia="Consolas" w:hAnsi="Consolas"/>
          <w:color w:val="0F172A"/>
          <w:sz w:val="19"/>
          <w:szCs w:val="19"/>
        </w:rPr>
        <w:t xml:space="preserve"># Console listens on: http://127.0.0.1:8080</w:t>
      </w:r>
    </w:p>
    <w:p>
      <w:pPr>
        <w:spacing w:after="120" w:line="276"/>
      </w:pPr>
      <w:r>
        <w:rPr>
          <w:rFonts w:ascii="Arial" w:cs="Arial" w:eastAsia="Arial" w:hAnsi="Arial"/>
          <w:color w:val="1E293B"/>
          <w:sz w:val="21"/>
          <w:szCs w:val="21"/>
        </w:rPr>
        <w:t xml:space="preserve">Open your web browser and navigate to </w:t>
      </w:r>
      <w:r>
        <w:rPr>
          <w:rFonts w:ascii="Consolas" w:cs="Consolas" w:eastAsia="Consolas" w:hAnsi="Consolas"/>
          <w:color w:val="0F172A"/>
          <w:sz w:val="19"/>
          <w:szCs w:val="19"/>
          <w:shd w:fill="F1F5F9" w:val="clear"/>
        </w:rPr>
        <w:t xml:space="preserve">http://127.0.0.1:8080</w:t>
      </w:r>
      <w:r>
        <w:rPr>
          <w:rFonts w:ascii="Arial" w:cs="Arial" w:eastAsia="Arial" w:hAnsi="Arial"/>
          <w:color w:val="1E293B"/>
          <w:sz w:val="21"/>
          <w:szCs w:val="21"/>
        </w:rPr>
        <w:t xml:space="preserve">. Verify that the status pill in the top-right reads </w:t>
      </w:r>
      <w:r>
        <w:rPr>
          <w:rFonts w:ascii="Arial" w:cs="Arial" w:eastAsia="Arial" w:hAnsi="Arial"/>
          <w:b/>
          <w:bCs/>
          <w:color w:val="0F172A"/>
          <w:sz w:val="21"/>
          <w:szCs w:val="21"/>
        </w:rPr>
        <w:t xml:space="preserve">API Service Online</w:t>
      </w:r>
      <w:r>
        <w:rPr>
          <w:rFonts w:ascii="Arial" w:cs="Arial" w:eastAsia="Arial" w:hAnsi="Arial"/>
          <w:color w:val="1E293B"/>
          <w:sz w:val="21"/>
          <w:szCs w:val="21"/>
        </w:rPr>
        <w:t xml:space="preserve">.</w:t>
      </w:r>
    </w:p>
    <w:p>
      <w:pPr>
        <w:pStyle w:val="Heading2"/>
        <w:spacing w:after="120" w:before="280"/>
      </w:pPr>
      <w:r>
        <w:t xml:space="preserve">Option 2: Headless CLI Execution</w:t>
      </w:r>
    </w:p>
    <w:p>
      <w:pPr>
        <w:pBdr>
          <w:top w:val="single" w:color="CBD5E1" w:sz="6" w:space="60"/>
          <w:left w:val="single" w:color="3B82F6" w:sz="18" w:space="100"/>
          <w:bottom w:val="single" w:color="CBD5E1" w:sz="6" w:space="60"/>
          <w:right w:val="single" w:color="CBD5E1" w:sz="6" w:space="60"/>
        </w:pBdr>
        <w:shd w:fill="F8FAFC" w:val="clear"/>
        <w:spacing w:after="140" w:before="120"/>
        <w:ind w:left="400" w:right="200"/>
      </w:pPr>
      <w:r>
        <w:rPr>
          <w:rFonts w:ascii="Consolas" w:cs="Consolas" w:eastAsia="Consolas" w:hAnsi="Consolas"/>
          <w:color w:val="0F172A"/>
          <w:sz w:val="19"/>
          <w:szCs w:val="19"/>
        </w:rPr>
        <w:t xml:space="preserve"># Run full migration in dry-run simulation mode
</w:t>
      </w:r>
      <w:r>
        <w:rPr>
          <w:rFonts w:ascii="Consolas" w:cs="Consolas" w:eastAsia="Consolas" w:hAnsi="Consolas"/>
          <w:color w:val="0F172A"/>
          <w:sz w:val="19"/>
          <w:szCs w:val="19"/>
        </w:rPr>
        <w:t xml:space="preserve">npx tsx src/cli.ts --config migration-config.json --dry-run
</w:t>
      </w:r>
      <w:r>
        <w:rPr>
          <w:rFonts w:ascii="Consolas" w:cs="Consolas" w:eastAsia="Consolas" w:hAnsi="Consolas"/>
          <w:color w:val="0F172A"/>
          <w:sz w:val="19"/>
          <w:szCs w:val="19"/>
        </w:rPr>
        <w:t xml:space="preserve">
</w:t>
      </w:r>
      <w:r>
        <w:rPr>
          <w:rFonts w:ascii="Consolas" w:cs="Consolas" w:eastAsia="Consolas" w:hAnsi="Consolas"/>
          <w:color w:val="0F172A"/>
          <w:sz w:val="19"/>
          <w:szCs w:val="19"/>
        </w:rPr>
        <w:t xml:space="preserve"># Run full live migration
</w:t>
      </w:r>
      <w:r>
        <w:rPr>
          <w:rFonts w:ascii="Consolas" w:cs="Consolas" w:eastAsia="Consolas" w:hAnsi="Consolas"/>
          <w:color w:val="0F172A"/>
          <w:sz w:val="19"/>
          <w:szCs w:val="19"/>
        </w:rPr>
        <w:t xml:space="preserve">npx tsx src/cli.ts --config migration-config.json</w:t>
      </w:r>
    </w:p>
    <w:p>
      <w:pPr>
        <w:pStyle w:val="Heading2"/>
        <w:spacing w:after="120" w:before="280"/>
      </w:pPr>
      <w:r>
        <w:t xml:space="preserve">Option 3: Run Automated Test Suite</w:t>
      </w:r>
    </w:p>
    <w:p>
      <w:pPr>
        <w:pBdr>
          <w:top w:val="single" w:color="CBD5E1" w:sz="6" w:space="60"/>
          <w:left w:val="single" w:color="3B82F6" w:sz="18" w:space="100"/>
          <w:bottom w:val="single" w:color="CBD5E1" w:sz="6" w:space="60"/>
          <w:right w:val="single" w:color="CBD5E1" w:sz="6" w:space="60"/>
        </w:pBdr>
        <w:shd w:fill="F8FAFC" w:val="clear"/>
        <w:spacing w:after="140" w:before="120"/>
        <w:ind w:left="400" w:right="200"/>
      </w:pPr>
      <w:r>
        <w:rPr>
          <w:rFonts w:ascii="Consolas" w:cs="Consolas" w:eastAsia="Consolas" w:hAnsi="Consolas"/>
          <w:color w:val="0F172A"/>
          <w:sz w:val="19"/>
          <w:szCs w:val="19"/>
        </w:rPr>
        <w:t xml:space="preserve">npm test
</w:t>
      </w:r>
      <w:r>
        <w:rPr>
          <w:rFonts w:ascii="Consolas" w:cs="Consolas" w:eastAsia="Consolas" w:hAnsi="Consolas"/>
          <w:color w:val="0F172A"/>
          <w:sz w:val="19"/>
          <w:szCs w:val="19"/>
        </w:rPr>
        <w:t xml:space="preserve"># Executes 323 automated tests across 26 test suites covering auth, cross-project parity pre-checks, dynamic _##### connector Regex Pattern Matching, HITL validation, export, decommissioning, and rollback validation</w:t>
      </w:r>
    </w:p>
    <w:p>
      <w:pPr>
        <w:pStyle w:val="Heading2"/>
        <w:spacing w:after="120" w:before="280"/>
      </w:pPr>
      <w:r>
        <w:t xml:space="preserve">Command-Line CLI Flag Reference</w:t>
      </w:r>
    </w:p>
    <w:tbl>
      <w:tblPr>
        <w:tblW w:type="pct" w:w="5000"/>
        <w:tblBorders>
          <w:top w:val="single" w:color="CBD5E1" w:sz="1"/>
          <w:left w:val="single" w:color="CBD5E1" w:sz="1"/>
          <w:bottom w:val="single" w:color="CBD5E1" w:sz="1"/>
          <w:right w:val="single" w:color="CBD5E1" w:sz="1"/>
          <w:insideH w:val="single" w:color="E2E8F0" w:sz="1"/>
          <w:insideV w:val="single" w:color="E2E8F0" w:sz="1"/>
        </w:tblBorders>
      </w:tblPr>
      <w:tblGrid>
        <w:gridCol w:w="2257"/>
        <w:gridCol w:w="1354"/>
        <w:gridCol w:w="4062"/>
        <w:gridCol w:w="1354"/>
      </w:tblGrid>
      <w:tr>
        <w:trPr>
          <w:tblHeader/>
        </w:trPr>
        <w:tc>
          <w:tcPr>
            <w:tcW w:type="pct" w:w="125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Flag</w:t>
            </w:r>
          </w:p>
        </w:tc>
        <w:tc>
          <w:tcPr>
            <w:tcW w:type="pct" w:w="75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Argument</w:t>
            </w:r>
          </w:p>
        </w:tc>
        <w:tc>
          <w:tcPr>
            <w:tcW w:type="pct" w:w="225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Description</w:t>
            </w:r>
          </w:p>
        </w:tc>
        <w:tc>
          <w:tcPr>
            <w:tcW w:type="pct" w:w="75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Default</w:t>
            </w:r>
          </w:p>
        </w:tc>
      </w:tr>
      <w:tr>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-c, --config</w:t>
            </w:r>
          </w:p>
        </w:tc>
        <w:tc>
          <w:tcPr>
            <w:tcW w:type="pct" w:w="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&lt;path&gt;</w:t>
            </w:r>
          </w:p>
        </w:tc>
        <w:tc>
          <w:tcPr>
            <w:tcW w:type="pct" w:w="2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Path to JSON migration configuration file</w:t>
            </w:r>
          </w:p>
        </w:tc>
        <w:tc>
          <w:tcPr>
            <w:tcW w:type="pct" w:w="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migration-config.json</w:t>
            </w:r>
          </w:p>
        </w:tc>
      </w:tr>
      <w:tr>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--dry-run</w:t>
            </w:r>
          </w:p>
        </w:tc>
        <w:tc>
          <w:tcPr>
            <w:tcW w:type="pct" w:w="7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w:t>
            </w:r>
          </w:p>
        </w:tc>
        <w:tc>
          <w:tcPr>
            <w:tcW w:type="pct" w:w="2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Simulate migration without applying changes to target</w:t>
            </w:r>
          </w:p>
        </w:tc>
        <w:tc>
          <w:tcPr>
            <w:tcW w:type="pct" w:w="7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false</w:t>
            </w:r>
          </w:p>
        </w:tc>
      </w:tr>
      <w:tr>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--no-notebooks</w:t>
            </w:r>
          </w:p>
        </w:tc>
        <w:tc>
          <w:tcPr>
            <w:tcW w:type="pct" w:w="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w:t>
            </w:r>
          </w:p>
        </w:tc>
        <w:tc>
          <w:tcPr>
            <w:tcW w:type="pct" w:w="2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Skip notebook and source migration</w:t>
            </w:r>
          </w:p>
        </w:tc>
        <w:tc>
          <w:tcPr>
            <w:tcW w:type="pct" w:w="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Enabled</w:t>
            </w:r>
          </w:p>
        </w:tc>
      </w:tr>
      <w:tr>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--no-agents</w:t>
            </w:r>
          </w:p>
        </w:tc>
        <w:tc>
          <w:tcPr>
            <w:tcW w:type="pct" w:w="7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w:t>
            </w:r>
          </w:p>
        </w:tc>
        <w:tc>
          <w:tcPr>
            <w:tcW w:type="pct" w:w="2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Skip custom agent migration</w:t>
            </w:r>
          </w:p>
        </w:tc>
        <w:tc>
          <w:tcPr>
            <w:tcW w:type="pct" w:w="7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Enabled</w:t>
            </w:r>
          </w:p>
        </w:tc>
      </w:tr>
      <w:tr>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--no-sessions</w:t>
            </w:r>
          </w:p>
        </w:tc>
        <w:tc>
          <w:tcPr>
            <w:tcW w:type="pct" w:w="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w:t>
            </w:r>
          </w:p>
        </w:tc>
        <w:tc>
          <w:tcPr>
            <w:tcW w:type="pct" w:w="2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Skip chat conversation history migration</w:t>
            </w:r>
          </w:p>
        </w:tc>
        <w:tc>
          <w:tcPr>
            <w:tcW w:type="pct" w:w="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Enabled</w:t>
            </w:r>
          </w:p>
        </w:tc>
      </w:tr>
      <w:tr>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--no-memories</w:t>
            </w:r>
          </w:p>
        </w:tc>
        <w:tc>
          <w:tcPr>
            <w:tcW w:type="pct" w:w="7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w:t>
            </w:r>
          </w:p>
        </w:tc>
        <w:tc>
          <w:tcPr>
            <w:tcW w:type="pct" w:w="2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Skip personalized memories and facts migration (Experimental — may not work for everyone)</w:t>
            </w:r>
          </w:p>
        </w:tc>
        <w:tc>
          <w:tcPr>
            <w:tcW w:type="pct" w:w="7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Enabled (Exp)</w:t>
            </w:r>
          </w:p>
        </w:tc>
      </w:tr>
      <w:tr>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--no-skills</w:t>
            </w:r>
          </w:p>
        </w:tc>
        <w:tc>
          <w:tcPr>
            <w:tcW w:type="pct" w:w="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w:t>
            </w:r>
          </w:p>
        </w:tc>
        <w:tc>
          <w:tcPr>
            <w:tcW w:type="pct" w:w="2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Skip Agent Registry custom skills migration (Experimental — may not work for everyone)</w:t>
            </w:r>
          </w:p>
        </w:tc>
        <w:tc>
          <w:tcPr>
            <w:tcW w:type="pct" w:w="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Enabled (Exp)</w:t>
            </w:r>
          </w:p>
        </w:tc>
      </w:tr>
      <w:tr>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--export-memories</w:t>
            </w:r>
          </w:p>
        </w:tc>
        <w:tc>
          <w:tcPr>
            <w:tcW w:type="pct" w:w="7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w:t>
            </w:r>
          </w:p>
        </w:tc>
        <w:tc>
          <w:tcPr>
            <w:tcW w:type="pct" w:w="2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Export JSON snapshot of user memories to local disk (Experimental)</w:t>
            </w:r>
          </w:p>
        </w:tc>
        <w:tc>
          <w:tcPr>
            <w:tcW w:type="pct" w:w="7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false</w:t>
            </w:r>
          </w:p>
        </w:tc>
      </w:tr>
      <w:tr>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--export-artifacts</w:t>
            </w:r>
          </w:p>
        </w:tc>
        <w:tc>
          <w:tcPr>
            <w:tcW w:type="pct" w:w="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w:t>
            </w:r>
          </w:p>
        </w:tc>
        <w:tc>
          <w:tcPr>
            <w:tcW w:type="pct" w:w="2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Export studio presentations, quizzes, and flashcards</w:t>
            </w:r>
          </w:p>
        </w:tc>
        <w:tc>
          <w:tcPr>
            <w:tcW w:type="pct" w:w="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false</w:t>
            </w:r>
          </w:p>
        </w:tc>
      </w:tr>
      <w:tr>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--agent-types</w:t>
            </w:r>
          </w:p>
        </w:tc>
        <w:tc>
          <w:tcPr>
            <w:tcW w:type="pct" w:w="7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&lt;types...&gt;</w:t>
            </w:r>
          </w:p>
        </w:tc>
        <w:tc>
          <w:tcPr>
            <w:tcW w:type="pct" w:w="2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Filter agent migration by type (LOW_CODE, WORKFLOW, ALL)</w:t>
            </w:r>
          </w:p>
        </w:tc>
        <w:tc>
          <w:tcPr>
            <w:tcW w:type="pct" w:w="7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ALL</w:t>
            </w:r>
          </w:p>
        </w:tc>
      </w:tr>
      <w:tr>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--publish-agents</w:t>
            </w:r>
          </w:p>
        </w:tc>
        <w:tc>
          <w:tcPr>
            <w:tcW w:type="pct" w:w="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w:t>
            </w:r>
          </w:p>
        </w:tc>
        <w:tc>
          <w:tcPr>
            <w:tcW w:type="pct" w:w="2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Auto-publish migrated agents to organizational gallery</w:t>
            </w:r>
          </w:p>
        </w:tc>
        <w:tc>
          <w:tcPr>
            <w:tcW w:type="pct" w:w="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false</w:t>
            </w:r>
          </w:p>
        </w:tc>
      </w:tr>
      <w:tr>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--no-preserve-sharing</w:t>
            </w:r>
          </w:p>
        </w:tc>
        <w:tc>
          <w:tcPr>
            <w:tcW w:type="pct" w:w="7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w:t>
            </w:r>
          </w:p>
        </w:tc>
        <w:tc>
          <w:tcPr>
            <w:tcW w:type="pct" w:w="2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Do not replicate sharing configurations (ALL_USERS/RESTRICTED)</w:t>
            </w:r>
          </w:p>
        </w:tc>
        <w:tc>
          <w:tcPr>
            <w:tcW w:type="pct" w:w="7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Replicate</w:t>
            </w:r>
          </w:p>
        </w:tc>
      </w:tr>
      <w:tr>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--prompt-admin-hitl</w:t>
            </w:r>
          </w:p>
        </w:tc>
        <w:tc>
          <w:tcPr>
            <w:tcW w:type="pct" w:w="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w:t>
            </w:r>
          </w:p>
        </w:tc>
        <w:tc>
          <w:tcPr>
            <w:tcW w:type="pct" w:w="2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Pause migration for HITL confirmation when shared Admin notebooks are detected</w:t>
            </w:r>
          </w:p>
        </w:tc>
        <w:tc>
          <w:tcPr>
            <w:tcW w:type="pct" w:w="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false</w:t>
            </w:r>
          </w:p>
        </w:tc>
      </w:tr>
      <w:tr>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--no-connector-hitl</w:t>
            </w:r>
          </w:p>
        </w:tc>
        <w:tc>
          <w:tcPr>
            <w:tcW w:type="pct" w:w="7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w:t>
            </w:r>
          </w:p>
        </w:tc>
        <w:tc>
          <w:tcPr>
            <w:tcW w:type="pct" w:w="2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Disable HITL validation prompts when unmapped agent connectors/datastores are detected</w:t>
            </w:r>
          </w:p>
        </w:tc>
        <w:tc>
          <w:tcPr>
            <w:tcW w:type="pct" w:w="7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Prompts enabled</w:t>
            </w:r>
          </w:p>
        </w:tc>
      </w:tr>
      <w:tr>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--users</w:t>
            </w:r>
          </w:p>
        </w:tc>
        <w:tc>
          <w:tcPr>
            <w:tcW w:type="pct" w:w="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&lt;users...&gt;</w:t>
            </w:r>
          </w:p>
        </w:tc>
        <w:tc>
          <w:tcPr>
            <w:tcW w:type="pct" w:w="2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Filter migration to specific user email(s) or patterns</w:t>
            </w:r>
          </w:p>
        </w:tc>
        <w:tc>
          <w:tcPr>
            <w:tcW w:type="pct" w:w="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All users</w:t>
            </w:r>
          </w:p>
        </w:tc>
      </w:tr>
      <w:tr>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--concurrency</w:t>
            </w:r>
          </w:p>
        </w:tc>
        <w:tc>
          <w:tcPr>
            <w:tcW w:type="pct" w:w="7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&lt;number&gt;</w:t>
            </w:r>
          </w:p>
        </w:tc>
        <w:tc>
          <w:tcPr>
            <w:tcW w:type="pct" w:w="2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Maximum parallel worker concurrency</w:t>
            </w:r>
          </w:p>
        </w:tc>
        <w:tc>
          <w:tcPr>
            <w:tcW w:type="pct" w:w="7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10</w:t>
            </w:r>
          </w:p>
        </w:tc>
      </w:tr>
      <w:tr>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--token</w:t>
            </w:r>
          </w:p>
        </w:tc>
        <w:tc>
          <w:tcPr>
            <w:tcW w:type="pct" w:w="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&lt;token&gt;</w:t>
            </w:r>
          </w:p>
        </w:tc>
        <w:tc>
          <w:tcPr>
            <w:tcW w:type="pct" w:w="2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Explicit Google OAuth Access Token (overrides ADC)</w:t>
            </w:r>
          </w:p>
        </w:tc>
        <w:tc>
          <w:tcPr>
            <w:tcW w:type="pct" w:w="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w:t>
            </w:r>
          </w:p>
        </w:tc>
      </w:tr>
      <w:tr>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--service-account-key</w:t>
            </w:r>
          </w:p>
        </w:tc>
        <w:tc>
          <w:tcPr>
            <w:tcW w:type="pct" w:w="7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&lt;path&gt;</w:t>
            </w:r>
          </w:p>
        </w:tc>
        <w:tc>
          <w:tcPr>
            <w:tcW w:type="pct" w:w="2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Path to GCP Service Account JSON key for DWD</w:t>
            </w:r>
          </w:p>
        </w:tc>
        <w:tc>
          <w:tcPr>
            <w:tcW w:type="pct" w:w="7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w:t>
            </w:r>
          </w:p>
        </w:tc>
      </w:tr>
      <w:tr>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--output-dir</w:t>
            </w:r>
          </w:p>
        </w:tc>
        <w:tc>
          <w:tcPr>
            <w:tcW w:type="pct" w:w="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&lt;dir&gt;</w:t>
            </w:r>
          </w:p>
        </w:tc>
        <w:tc>
          <w:tcPr>
            <w:tcW w:type="pct" w:w="2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Directory to output migration reports</w:t>
            </w:r>
          </w:p>
        </w:tc>
        <w:tc>
          <w:tcPr>
            <w:tcW w:type="pct" w:w="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./reports</w:t>
            </w:r>
          </w:p>
        </w:tc>
      </w:tr>
      <w:tr>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--resume</w:t>
            </w:r>
          </w:p>
        </w:tc>
        <w:tc>
          <w:tcPr>
            <w:tcW w:type="pct" w:w="7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&lt;reportPath&gt;</w:t>
            </w:r>
          </w:p>
        </w:tc>
        <w:tc>
          <w:tcPr>
            <w:tcW w:type="pct" w:w="2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Resume migration by skipping already-successful assets</w:t>
            </w:r>
          </w:p>
        </w:tc>
        <w:tc>
          <w:tcPr>
            <w:tcW w:type="pct" w:w="7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w:t>
            </w:r>
          </w:p>
        </w:tc>
      </w:tr>
      <w:tr>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--generate-user-reports</w:t>
            </w:r>
          </w:p>
        </w:tc>
        <w:tc>
          <w:tcPr>
            <w:tcW w:type="pct" w:w="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w:t>
            </w:r>
          </w:p>
        </w:tc>
        <w:tc>
          <w:tcPr>
            <w:tcW w:type="pct" w:w="2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Generate post-migration handover bundles and checklists</w:t>
            </w:r>
          </w:p>
        </w:tc>
        <w:tc>
          <w:tcPr>
            <w:tcW w:type="pct" w:w="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false</w:t>
            </w:r>
          </w:p>
        </w:tc>
      </w:tr>
      <w:tr>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--notify-users</w:t>
            </w:r>
          </w:p>
        </w:tc>
        <w:tc>
          <w:tcPr>
            <w:tcW w:type="pct" w:w="750"/>
            <w:shd w:fill="F8FAFC" w:val="clear"/>
            <w:tcMar>
              <w:top w:type="dxa" w:w="80"/>
              <w:left w:type="dxa" w:w="140"/>
              <w:bottom w:type="dxa" w:w="80"/>
              <w:right w:type="dxa" w:w="140"/>
            </w:tcMar>
          </w:tcPr>
          <w:p>
            <w:pPr>
              <w:spacing w:after="40"/>
            </w:pPr>
            <w:r>
              <w:rPr>
                <w:rFonts w:ascii="Arial" w:cs="Arial" w:eastAsia="Arial" w:hAnsi="Arial"/>
                <w:b/>
                <w:bCs/>
                <w:color w:val="1A73E8"/>
                <w:sz w:val="18"/>
                <w:szCs w:val="18"/>
              </w:rPr>
              <w:t xml:space="preserve">[override]</w:t>
            </w:r>
          </w:p>
        </w:tc>
        <w:tc>
          <w:tcPr>
            <w:tcW w:type="pct" w:w="2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Dispatch bulk handover emails to users (or test override)</w:t>
            </w:r>
          </w:p>
        </w:tc>
        <w:tc>
          <w:tcPr>
            <w:tcW w:type="pct" w:w="7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w:t>
            </w:r>
          </w:p>
        </w:tc>
      </w:tr>
      <w:tr>
        <w:tc>
          <w:tcPr>
            <w:tcW w:type="pct" w:w="1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--no-zip-attachments</w:t>
            </w:r>
          </w:p>
        </w:tc>
        <w:tc>
          <w:tcPr>
            <w:tcW w:type="pct" w:w="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w:t>
            </w:r>
          </w:p>
        </w:tc>
        <w:tc>
          <w:tcPr>
            <w:tcW w:type="pct" w:w="22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Disable packaging user artifacts into .zip archive</w:t>
            </w:r>
          </w:p>
        </w:tc>
        <w:tc>
          <w:tcPr>
            <w:tcW w:type="pct" w:w="75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ZIP enabled</w:t>
            </w:r>
          </w:p>
        </w:tc>
      </w:tr>
      <w:tr>
        <w:tc>
          <w:tcPr>
            <w:tcW w:type="pct" w:w="1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--no-optimize-media</w:t>
            </w:r>
          </w:p>
        </w:tc>
        <w:tc>
          <w:tcPr>
            <w:tcW w:type="pct" w:w="7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w:t>
            </w:r>
          </w:p>
        </w:tc>
        <w:tc>
          <w:tcPr>
            <w:tcW w:type="pct" w:w="22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Disable automatic media optimization for slide decks</w:t>
            </w:r>
          </w:p>
        </w:tc>
        <w:tc>
          <w:tcPr>
            <w:tcW w:type="pct" w:w="75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Optimized</w:t>
            </w:r>
          </w:p>
        </w:tc>
      </w:tr>
    </w:tbl>
    <w:p>
      <w:pPr>
        <w:spacing w:after="160"/>
      </w:pPr>
    </w:p>
    <w:p>
      <w:pPr>
        <w:pStyle w:val="Heading1"/>
        <w:spacing w:after="140" w:before="360"/>
      </w:pPr>
      <w:r>
        <w:t xml:space="preserve">8. Troubleshooting &amp; Common Installation Gotchas</w:t>
      </w:r>
    </w:p>
    <w:tbl>
      <w:tblPr>
        <w:tblW w:type="pct" w:w="5000"/>
        <w:tblBorders>
          <w:top w:val="single" w:color="CBD5E1" w:sz="1"/>
          <w:left w:val="single" w:color="CBD5E1" w:sz="1"/>
          <w:bottom w:val="single" w:color="CBD5E1" w:sz="1"/>
          <w:right w:val="single" w:color="CBD5E1" w:sz="1"/>
          <w:insideH w:val="single" w:color="E2E8F0" w:sz="1"/>
          <w:insideV w:val="single" w:color="E2E8F0" w:sz="1"/>
        </w:tblBorders>
      </w:tblPr>
      <w:tblGrid>
        <w:gridCol w:w="2708"/>
        <w:gridCol w:w="2708"/>
        <w:gridCol w:w="3610"/>
      </w:tblGrid>
      <w:tr>
        <w:trPr>
          <w:tblHeader/>
        </w:trPr>
        <w:tc>
          <w:tcPr>
            <w:tcW w:type="pct" w:w="150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Symptom / Error Message</w:t>
            </w:r>
          </w:p>
        </w:tc>
        <w:tc>
          <w:tcPr>
            <w:tcW w:type="pct" w:w="150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Root Cause</w:t>
            </w:r>
          </w:p>
        </w:tc>
        <w:tc>
          <w:tcPr>
            <w:tcW w:type="pct" w:w="2000"/>
            <w:shd w:fill="1E293B" w:val="clear"/>
            <w:tcMar>
              <w:top w:type="dxa" w:w="100"/>
              <w:left w:type="dxa" w:w="140"/>
              <w:bottom w:type="dxa" w:w="100"/>
              <w:right w:type="dxa" w:w="140"/>
            </w:tcMar>
          </w:tcPr>
          <w:p>
            <w:pPr>
              <w:spacing w:after="40"/>
            </w:pPr>
            <w:r>
              <w:rPr>
                <w:rFonts w:ascii="Arial" w:cs="Arial" w:eastAsia="Arial" w:hAnsi="Arial"/>
                <w:b/>
                <w:bCs/>
                <w:color w:val="FFFFFF"/>
                <w:sz w:val="19"/>
                <w:szCs w:val="19"/>
              </w:rPr>
              <w:t xml:space="preserve">Actionable Resolution</w:t>
            </w:r>
          </w:p>
        </w:tc>
      </w:tr>
      <w:tr>
        <w:tc>
          <w:tcPr>
            <w:tcW w:type="pct" w:w="15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403 Forbidden: Caller does not have required permission to use project</w:t>
            </w:r>
          </w:p>
        </w:tc>
        <w:tc>
          <w:tcPr>
            <w:tcW w:type="pct" w:w="15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Service Usage API is disabled or caller lacks </w:t>
            </w:r>
            <w:r>
              <w:rPr>
                <w:rFonts w:ascii="Consolas" w:cs="Consolas" w:eastAsia="Consolas" w:hAnsi="Consolas"/>
                <w:color w:val="0F172A"/>
                <w:sz w:val="19"/>
                <w:szCs w:val="19"/>
                <w:shd w:fill="F1F5F9" w:val="clear"/>
              </w:rPr>
              <w:t xml:space="preserve">roles/serviceusage.serviceUsageConsumer</w:t>
            </w:r>
          </w:p>
        </w:tc>
        <w:tc>
          <w:tcPr>
            <w:tcW w:type="pct" w:w="20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Run </w:t>
            </w:r>
            <w:r>
              <w:rPr>
                <w:rFonts w:ascii="Consolas" w:cs="Consolas" w:eastAsia="Consolas" w:hAnsi="Consolas"/>
                <w:color w:val="0F172A"/>
                <w:sz w:val="19"/>
                <w:szCs w:val="19"/>
                <w:shd w:fill="F1F5F9" w:val="clear"/>
              </w:rPr>
              <w:t xml:space="preserve">gcloud services enable serviceusage.googleapis.com --project=&lt;PROJECT_ID&gt;</w:t>
            </w:r>
            <w:r>
              <w:rPr>
                <w:rFonts w:ascii="Arial" w:cs="Arial" w:eastAsia="Arial" w:hAnsi="Arial"/>
                <w:color w:val="1E293B"/>
                <w:sz w:val="21"/>
                <w:szCs w:val="21"/>
              </w:rPr>
              <w:t xml:space="preserve"> and grant </w:t>
            </w:r>
            <w:r>
              <w:rPr>
                <w:rFonts w:ascii="Consolas" w:cs="Consolas" w:eastAsia="Consolas" w:hAnsi="Consolas"/>
                <w:color w:val="0F172A"/>
                <w:sz w:val="19"/>
                <w:szCs w:val="19"/>
                <w:shd w:fill="F1F5F9" w:val="clear"/>
              </w:rPr>
              <w:t xml:space="preserve">roles/serviceusage.serviceUsageConsumer</w:t>
            </w:r>
            <w:r>
              <w:rPr>
                <w:rFonts w:ascii="Arial" w:cs="Arial" w:eastAsia="Arial" w:hAnsi="Arial"/>
                <w:color w:val="1E293B"/>
                <w:sz w:val="21"/>
                <w:szCs w:val="21"/>
              </w:rPr>
              <w:t xml:space="preserve"> to caller.</w:t>
            </w:r>
          </w:p>
        </w:tc>
      </w:tr>
      <w:tr>
        <w:tc>
          <w:tcPr>
            <w:tcW w:type="pct" w:w="15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invalid_grant: Invalid email or User ID</w:t>
            </w:r>
          </w:p>
        </w:tc>
        <w:tc>
          <w:tcPr>
            <w:tcW w:type="pct" w:w="15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DWD impersonation targeted a user email that does not exist in Google Workspace directory</w:t>
            </w:r>
          </w:p>
        </w:tc>
        <w:tc>
          <w:tcPr>
            <w:tcW w:type="pct" w:w="20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Verify target user exists in Google Workspace Admin Console (</w:t>
            </w:r>
            <w:r>
              <w:rPr>
                <w:rFonts w:ascii="Consolas" w:cs="Consolas" w:eastAsia="Consolas" w:hAnsi="Consolas"/>
                <w:color w:val="0F172A"/>
                <w:sz w:val="19"/>
                <w:szCs w:val="19"/>
                <w:shd w:fill="F1F5F9" w:val="clear"/>
              </w:rPr>
              <w:t xml:space="preserve">admin.google.com</w:t>
            </w:r>
            <w:r>
              <w:rPr>
                <w:rFonts w:ascii="Arial" w:cs="Arial" w:eastAsia="Arial" w:hAnsi="Arial"/>
                <w:color w:val="1E293B"/>
                <w:sz w:val="21"/>
                <w:szCs w:val="21"/>
              </w:rPr>
              <w:t xml:space="preserve">) and DWD scopes are authorized.</w:t>
            </w:r>
          </w:p>
        </w:tc>
      </w:tr>
      <w:tr>
        <w:tc>
          <w:tcPr>
            <w:tcW w:type="pct" w:w="15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ENOENT: idp-subject-token.jwt does not exist</w:t>
            </w:r>
          </w:p>
        </w:tc>
        <w:tc>
          <w:tcPr>
            <w:tcW w:type="pct" w:w="15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WiF auth selected but subject token file has not been minted or has expired</w:t>
            </w:r>
          </w:p>
        </w:tc>
        <w:tc>
          <w:tcPr>
            <w:tcW w:type="pct" w:w="20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Generate a fresh subject token using </w:t>
            </w:r>
            <w:r>
              <w:rPr>
                <w:rFonts w:ascii="Consolas" w:cs="Consolas" w:eastAsia="Consolas" w:hAnsi="Consolas"/>
                <w:color w:val="0F172A"/>
                <w:sz w:val="19"/>
                <w:szCs w:val="19"/>
                <w:shd w:fill="F1F5F9" w:val="clear"/>
              </w:rPr>
              <w:t xml:space="preserve">wif-migration-key.pem</w:t>
            </w:r>
            <w:r>
              <w:rPr>
                <w:rFonts w:ascii="Arial" w:cs="Arial" w:eastAsia="Arial" w:hAnsi="Arial"/>
                <w:color w:val="1E293B"/>
                <w:sz w:val="21"/>
                <w:szCs w:val="21"/>
              </w:rPr>
              <w:t xml:space="preserve"> or switch auth type to ADC / DWD.</w:t>
            </w:r>
          </w:p>
        </w:tc>
      </w:tr>
      <w:tr>
        <w:tc>
          <w:tcPr>
            <w:tcW w:type="pct" w:w="15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EADDRINUSE: address already in use :::8080</w:t>
            </w:r>
          </w:p>
        </w:tc>
        <w:tc>
          <w:tcPr>
            <w:tcW w:type="pct" w:w="15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Another process is already bound to port 8080 on the workstation</w:t>
            </w:r>
          </w:p>
        </w:tc>
        <w:tc>
          <w:tcPr>
            <w:tcW w:type="pct" w:w="2000"/>
            <w:shd w:fill="F8FAFC" w:val="clear"/>
            <w:tcMar>
              <w:top w:type="dxa" w:w="80"/>
              <w:left w:type="dxa" w:w="140"/>
              <w:bottom w:type="dxa" w:w="80"/>
              <w:right w:type="dxa" w:w="140"/>
            </w:tcMar>
          </w:tcPr>
          <w:p>
            <w:pPr>
              <w:spacing w:after="40"/>
            </w:pPr>
            <w:r>
              <w:rPr>
                <w:rFonts w:ascii="Arial" w:cs="Arial" w:eastAsia="Arial" w:hAnsi="Arial"/>
                <w:color w:val="1E293B"/>
                <w:sz w:val="21"/>
                <w:szCs w:val="21"/>
              </w:rPr>
              <w:t xml:space="preserve">Launch with custom port: </w:t>
            </w:r>
            <w:r>
              <w:rPr>
                <w:rFonts w:ascii="Consolas" w:cs="Consolas" w:eastAsia="Consolas" w:hAnsi="Consolas"/>
                <w:color w:val="0F172A"/>
                <w:sz w:val="19"/>
                <w:szCs w:val="19"/>
                <w:shd w:fill="F1F5F9" w:val="clear"/>
              </w:rPr>
              <w:t xml:space="preserve">PORT=8085 npm start</w:t>
            </w:r>
            <w:r>
              <w:rPr>
                <w:rFonts w:ascii="Arial" w:cs="Arial" w:eastAsia="Arial" w:hAnsi="Arial"/>
                <w:color w:val="1E293B"/>
                <w:sz w:val="21"/>
                <w:szCs w:val="21"/>
              </w:rPr>
              <w:t xml:space="preserve"> or terminate the conflicting process (</w:t>
            </w:r>
            <w:r>
              <w:rPr>
                <w:rFonts w:ascii="Consolas" w:cs="Consolas" w:eastAsia="Consolas" w:hAnsi="Consolas"/>
                <w:color w:val="0F172A"/>
                <w:sz w:val="19"/>
                <w:szCs w:val="19"/>
                <w:shd w:fill="F1F5F9" w:val="clear"/>
              </w:rPr>
              <w:t xml:space="preserve">lsof -i :8080</w:t>
            </w:r>
            <w:r>
              <w:rPr>
                <w:rFonts w:ascii="Arial" w:cs="Arial" w:eastAsia="Arial" w:hAnsi="Arial"/>
                <w:color w:val="1E293B"/>
                <w:sz w:val="21"/>
                <w:szCs w:val="21"/>
              </w:rPr>
              <w:t xml:space="preserve">).</w:t>
            </w:r>
          </w:p>
        </w:tc>
      </w:tr>
      <w:tr>
        <w:tc>
          <w:tcPr>
            <w:tcW w:type="pct" w:w="15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Puppeteer / Chrome launch failed</w:t>
            </w:r>
          </w:p>
        </w:tc>
        <w:tc>
          <w:tcPr>
            <w:tcW w:type="pct" w:w="15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Missing Chrome executable on Linux workstation</w:t>
            </w:r>
          </w:p>
        </w:tc>
        <w:tc>
          <w:tcPr>
            <w:tcW w:type="pct" w:w="2000"/>
            <w:shd w:fill="FFFFFF" w:val="clear"/>
            <w:tcMar>
              <w:top w:type="dxa" w:w="80"/>
              <w:left w:type="dxa" w:w="140"/>
              <w:bottom w:type="dxa" w:w="80"/>
              <w:right w:type="dxa" w:w="140"/>
            </w:tcMar>
          </w:tcPr>
          <w:p>
            <w:pPr>
              <w:spacing w:after="40"/>
            </w:pPr>
            <w:r>
              <w:rPr>
                <w:rFonts w:ascii="Arial" w:cs="Arial" w:eastAsia="Arial" w:hAnsi="Arial"/>
                <w:color w:val="1E293B"/>
                <w:sz w:val="21"/>
                <w:szCs w:val="21"/>
              </w:rPr>
              <w:t xml:space="preserve">Install Google Chrome: </w:t>
            </w:r>
            <w:r>
              <w:rPr>
                <w:rFonts w:ascii="Consolas" w:cs="Consolas" w:eastAsia="Consolas" w:hAnsi="Consolas"/>
                <w:color w:val="0F172A"/>
                <w:sz w:val="19"/>
                <w:szCs w:val="19"/>
                <w:shd w:fill="F1F5F9" w:val="clear"/>
              </w:rPr>
              <w:t xml:space="preserve">apt-get install -y google-chrome-stable</w:t>
            </w:r>
            <w:r>
              <w:rPr>
                <w:rFonts w:ascii="Arial" w:cs="Arial" w:eastAsia="Arial" w:hAnsi="Arial"/>
                <w:color w:val="1E293B"/>
                <w:sz w:val="21"/>
                <w:szCs w:val="21"/>
              </w:rPr>
              <w:t xml:space="preserve"> or use pre-captured artifact assets.</w:t>
            </w:r>
          </w:p>
        </w:tc>
      </w:tr>
    </w:tbl>
    <w:p>
      <w:pPr>
        <w:spacing w:after="160"/>
      </w:pPr>
    </w:p>
    <w:p>
      <w:pPr>
        <w:pStyle w:val="Heading1"/>
        <w:spacing w:after="140" w:before="360"/>
      </w:pPr>
      <w:r>
        <w:t xml:space="preserve">9. Application Decommissioning &amp; Cleanup (Full Teardown)</w:t>
      </w:r>
    </w:p>
    <w:p>
      <w:pPr>
        <w:spacing w:after="120" w:line="276"/>
      </w:pPr>
      <w:r>
        <w:rPr>
          <w:rFonts w:ascii="Arial" w:cs="Arial" w:eastAsia="Arial" w:hAnsi="Arial"/>
          <w:color w:val="1E293B"/>
          <w:sz w:val="21"/>
          <w:szCs w:val="21"/>
        </w:rPr>
        <w:t xml:space="preserve">When migration waves are completed or during environment reset, the tool provides two distinct cleanup mechanisms in Tab 6 (Target Maintenance &amp; Platform Decommission):</w:t>
      </w:r>
    </w:p>
    <w:p>
      <w:pPr>
        <w:pStyle w:val="Heading2"/>
        <w:spacing w:after="120" w:before="280"/>
      </w:pPr>
      <w:r>
        <w:t xml:space="preserve">Button 1: Reset Target Project Assets (Test Iterations)</w:t>
      </w:r>
    </w:p>
    <w:p>
      <w:pPr>
        <w:spacing w:after="120" w:line="276"/>
      </w:pPr>
      <w:r>
        <w:rPr>
          <w:rFonts w:ascii="Arial" w:cs="Arial" w:eastAsia="Arial" w:hAnsi="Arial"/>
          <w:color w:val="1E293B"/>
          <w:sz w:val="21"/>
          <w:szCs w:val="21"/>
        </w:rPr>
        <w:t xml:space="preserve">Resets migrated assets (notebooks, custom agents, chat history, user memories, reports, and local artifacts) between test iterations without modifying credentials or GCP IAM roles.</w:t>
      </w:r>
    </w:p>
    <w:p>
      <w:pPr>
        <w:pStyle w:val="Heading2"/>
        <w:spacing w:after="120" w:before="280"/>
      </w:pPr>
      <w:r>
        <w:t xml:space="preserve">Button 2: Clean Up Install &amp; Decommission Migration App (Full Teardown)</w:t>
      </w:r>
    </w:p>
    <w:p>
      <w:pPr>
        <w:spacing w:after="120" w:line="276"/>
      </w:pPr>
      <w:r>
        <w:rPr>
          <w:rFonts w:ascii="Arial" w:cs="Arial" w:eastAsia="Arial" w:hAnsi="Arial"/>
          <w:color w:val="1E293B"/>
          <w:sz w:val="21"/>
          <w:szCs w:val="21"/>
        </w:rPr>
        <w:t xml:space="preserve">Completely uninstalls the migration application and restores both Google Cloud and your local workstation to their pre-setup baseline state:</w:t>
      </w:r>
    </w:p>
    <w:p>
      <w:pPr>
        <w:pStyle w:val="ListParagraph"/>
        <w:numPr>
          <w:ilvl w:val="0"/>
          <w:numId w:val="1"/>
        </w:numPr>
        <w:spacing w:after="60" w:line="260"/>
      </w:pPr>
      <w:r>
        <w:rPr>
          <w:rFonts w:ascii="Arial" w:cs="Arial" w:eastAsia="Arial" w:hAnsi="Arial"/>
          <w:color w:val="1E293B"/>
          <w:sz w:val="21"/>
          <w:szCs w:val="21"/>
        </w:rPr>
        <w:t xml:space="preserve">Reset Overwritten Org Policies: Resets iam.disableServiceAccountKeyCreation back to inherit from parent organization via gcloud org-policies reset.</w:t>
      </w:r>
    </w:p>
    <w:p>
      <w:pPr>
        <w:pStyle w:val="ListParagraph"/>
        <w:numPr>
          <w:ilvl w:val="0"/>
          <w:numId w:val="1"/>
        </w:numPr>
        <w:spacing w:after="60" w:line="260"/>
      </w:pPr>
      <w:r>
        <w:rPr>
          <w:rFonts w:ascii="Arial" w:cs="Arial" w:eastAsia="Arial" w:hAnsi="Arial"/>
          <w:color w:val="1E293B"/>
          <w:sz w:val="21"/>
          <w:szCs w:val="21"/>
        </w:rPr>
        <w:t xml:space="preserve">Revoke IAM Roles: Strips roles/discoveryengine.admin, roles/serviceusage.serviceUsageConsumer, and roles/iam.serviceAccountTokenCreator.</w:t>
      </w:r>
    </w:p>
    <w:p>
      <w:pPr>
        <w:pStyle w:val="ListParagraph"/>
        <w:numPr>
          <w:ilvl w:val="0"/>
          <w:numId w:val="1"/>
        </w:numPr>
        <w:spacing w:after="60" w:line="260"/>
      </w:pPr>
      <w:r>
        <w:rPr>
          <w:rFonts w:ascii="Arial" w:cs="Arial" w:eastAsia="Arial" w:hAnsi="Arial"/>
          <w:color w:val="1E293B"/>
          <w:sz w:val="21"/>
          <w:szCs w:val="21"/>
        </w:rPr>
        <w:t xml:space="preserve">Delete Service Account: Deletes gemini-dwd-migrator in Google Cloud IAM.</w:t>
      </w:r>
    </w:p>
    <w:p>
      <w:pPr>
        <w:pStyle w:val="ListParagraph"/>
        <w:numPr>
          <w:ilvl w:val="0"/>
          <w:numId w:val="1"/>
        </w:numPr>
        <w:spacing w:after="60" w:line="260"/>
      </w:pPr>
      <w:r>
        <w:rPr>
          <w:rFonts w:ascii="Arial" w:cs="Arial" w:eastAsia="Arial" w:hAnsi="Arial"/>
          <w:color w:val="1E293B"/>
          <w:sz w:val="21"/>
          <w:szCs w:val="21"/>
        </w:rPr>
        <w:t xml:space="preserve">Invalidate DWD: Permanently revokes token creation in Google Cloud IAM; manual console deletion in admin.google.com required due to Google Workspace API boundaries.</w:t>
      </w:r>
    </w:p>
    <w:p>
      <w:pPr>
        <w:pStyle w:val="ListParagraph"/>
        <w:numPr>
          <w:ilvl w:val="0"/>
          <w:numId w:val="1"/>
        </w:numPr>
        <w:spacing w:after="60" w:line="260"/>
      </w:pPr>
      <w:r>
        <w:rPr>
          <w:rFonts w:ascii="Arial" w:cs="Arial" w:eastAsia="Arial" w:hAnsi="Arial"/>
          <w:color w:val="1E293B"/>
          <w:sz w:val="21"/>
          <w:szCs w:val="21"/>
        </w:rPr>
        <w:t xml:space="preserve">Delete Local Credentials: Removes sa-dwd-key.json, workforce-identity-config.json, </w:t>
      </w:r>
      <w:r>
        <w:rPr>
          <w:rFonts w:ascii="Arial" w:cs="Arial" w:eastAsia="Arial" w:hAnsi="Arial"/>
          <w:i/>
          <w:iCs/>
          <w:color w:val="334155"/>
          <w:sz w:val="21"/>
          <w:szCs w:val="21"/>
        </w:rPr>
        <w:t xml:space="preserve">.pem, </w:t>
      </w:r>
      <w:r>
        <w:rPr>
          <w:rFonts w:ascii="Arial" w:cs="Arial" w:eastAsia="Arial" w:hAnsi="Arial"/>
          <w:color w:val="1E293B"/>
          <w:sz w:val="21"/>
          <w:szCs w:val="21"/>
        </w:rPr>
        <w:t xml:space="preserve">.jwt, and migration-config.json.</w:t>
      </w:r>
    </w:p>
    <w:p>
      <w:pPr>
        <w:pStyle w:val="ListParagraph"/>
        <w:numPr>
          <w:ilvl w:val="0"/>
          <w:numId w:val="1"/>
        </w:numPr>
        <w:spacing w:after="60" w:line="260"/>
      </w:pPr>
      <w:r>
        <w:rPr>
          <w:rFonts w:ascii="Arial" w:cs="Arial" w:eastAsia="Arial" w:hAnsi="Arial"/>
          <w:color w:val="1E293B"/>
          <w:sz w:val="21"/>
          <w:szCs w:val="21"/>
        </w:rPr>
        <w:t xml:space="preserve">Purge Output Directories: Empties reports/, exports/, and user_handover_reports/.</w:t>
      </w:r>
    </w:p>
    <w:p>
      <w:pPr>
        <w:pStyle w:val="ListParagraph"/>
        <w:numPr>
          <w:ilvl w:val="0"/>
          <w:numId w:val="1"/>
        </w:numPr>
        <w:spacing w:after="60" w:line="260"/>
      </w:pPr>
      <w:r>
        <w:rPr>
          <w:rFonts w:ascii="Arial" w:cs="Arial" w:eastAsia="Arial" w:hAnsi="Arial"/>
          <w:color w:val="1E293B"/>
          <w:sz w:val="21"/>
          <w:szCs w:val="21"/>
        </w:rPr>
        <w:t xml:space="preserve">Headless CLI Support: Supports "gemini-migrate decommission --project &lt;ID&gt; --confirm &lt;ID&gt; </w:t>
      </w:r>
      <w:r>
        <w:rPr>
          <w:rFonts w:ascii="Arial" w:cs="Arial" w:eastAsia="Arial" w:hAnsi="Arial"/>
          <w:b/>
          <w:bCs/>
          <w:color w:val="1A73E8"/>
          <w:sz w:val="18"/>
          <w:szCs w:val="18"/>
        </w:rPr>
        <w:t xml:space="preserve">[--wipe-target-assets]</w:t>
      </w:r>
      <w:r>
        <w:rPr>
          <w:rFonts w:ascii="Arial" w:cs="Arial" w:eastAsia="Arial" w:hAnsi="Arial"/>
          <w:color w:val="1E293B"/>
          <w:sz w:val="21"/>
          <w:szCs w:val="21"/>
        </w:rPr>
        <w:t xml:space="preserve">".</w:t>
      </w:r>
    </w:p>
    <w:p>
      <w:pPr>
        <w:pStyle w:val="Heading2"/>
        <w:spacing w:after="120" w:before="280"/>
      </w:pPr>
      <w:r>
        <w:t xml:space="preserve">Automated Rollback State Verification Engine</w:t>
      </w:r>
    </w:p>
    <w:p>
      <w:pPr>
        <w:spacing w:after="120" w:line="276"/>
      </w:pPr>
      <w:r>
        <w:rPr>
          <w:rFonts w:ascii="Arial" w:cs="Arial" w:eastAsia="Arial" w:hAnsi="Arial"/>
          <w:color w:val="1E293B"/>
          <w:sz w:val="21"/>
          <w:szCs w:val="21"/>
        </w:rPr>
        <w:t xml:space="preserve">Provides an automated 7-dimension audit engine verifying that organization policies inherit parent defaults, service accounts are permanently deleted, IAM role bindings are removed, DWD tokens are invalidated, local private keys are deleted, output folders are empty, and state caches are cleared.</w:t>
      </w:r>
    </w:p>
    <w:p>
      <w:pPr>
        <w:pStyle w:val="ListParagraph"/>
        <w:numPr>
          <w:ilvl w:val="0"/>
          <w:numId w:val="1"/>
        </w:numPr>
        <w:spacing w:after="60" w:line="260"/>
      </w:pPr>
      <w:r>
        <w:rPr>
          <w:rFonts w:ascii="Arial" w:cs="Arial" w:eastAsia="Arial" w:hAnsi="Arial"/>
          <w:color w:val="1E293B"/>
          <w:sz w:val="21"/>
          <w:szCs w:val="21"/>
        </w:rPr>
        <w:t xml:space="preserve">Web Console: Click "Verify Rollback State" in Tab 6 (Card 2).</w:t>
      </w:r>
    </w:p>
    <w:p>
      <w:pPr>
        <w:pStyle w:val="ListParagraph"/>
        <w:numPr>
          <w:ilvl w:val="0"/>
          <w:numId w:val="1"/>
        </w:numPr>
        <w:spacing w:after="60" w:line="260"/>
      </w:pPr>
      <w:r>
        <w:rPr>
          <w:rFonts w:ascii="Arial" w:cs="Arial" w:eastAsia="Arial" w:hAnsi="Arial"/>
          <w:color w:val="1E293B"/>
          <w:sz w:val="21"/>
          <w:szCs w:val="21"/>
        </w:rPr>
        <w:t xml:space="preserve">Headless CLI: gemini-migrate verify-rollback --project &lt;TARGET_PROJECT_ID&gt;</w:t>
      </w:r>
    </w:p>
    <w:p>
      <w:pPr>
        <w:pStyle w:val="ListParagraph"/>
        <w:numPr>
          <w:ilvl w:val="0"/>
          <w:numId w:val="1"/>
        </w:numPr>
        <w:spacing w:after="60" w:line="260"/>
      </w:pPr>
      <w:r>
        <w:rPr>
          <w:rFonts w:ascii="Arial" w:cs="Arial" w:eastAsia="Arial" w:hAnsi="Arial"/>
          <w:color w:val="1E293B"/>
          <w:sz w:val="21"/>
          <w:szCs w:val="21"/>
        </w:rPr>
        <w:t xml:space="preserve">REST API: GET /api/maintenance/verify-rollback?targetProject=&lt;PROJECT_ID&gt;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4A3B8"/>
        <w:sz w:val="16"/>
        <w:szCs w:val="16"/>
      </w:rPr>
      <w:t xml:space="preserve">Gemini Enterprise Migration Platform  •  Page </w:t>
    </w:r>
    <w:r>
      <w:rPr>
        <w:rFonts w:ascii="Arial" w:cs="Arial" w:eastAsia="Arial" w:hAnsi="Arial"/>
        <w:color w:val="94A3B8"/>
        <w:sz w:val="16"/>
        <w:szCs w:val="16"/>
      </w:rPr>
      <w:fldChar w:fldCharType="begin"/>
      <w:instrText xml:space="preserve">PAGE</w:instrText>
      <w:fldChar w:fldCharType="separate"/>
      <w:fldChar w:fldCharType="end"/>
    </w:r>
    <w:r>
      <w:rPr>
        <w:rFonts w:ascii="Arial" w:cs="Arial" w:eastAsia="Arial" w:hAnsi="Arial"/>
        <w:color w:val="94A3B8"/>
        <w:sz w:val="16"/>
        <w:szCs w:val="16"/>
      </w:rPr>
      <w:t xml:space="preserve"> of </w:t>
    </w:r>
    <w:r>
      <w:rPr>
        <w:rFonts w:ascii="Arial" w:cs="Arial" w:eastAsia="Arial" w:hAnsi="Arial"/>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4A3B8"/>
        <w:sz w:val="16"/>
        <w:szCs w:val="16"/>
      </w:rPr>
      <w:t xml:space="preserve">Gemini Enterprise Migration - Installation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140" w:before="360"/>
    </w:pPr>
    <w:rPr>
      <w:rFonts w:ascii="Arial" w:cs="Arial" w:eastAsia="Arial" w:hAnsi="Arial"/>
      <w:b/>
      <w:bCs/>
      <w:color w:val="1A73E8"/>
      <w:sz w:val="32"/>
      <w:szCs w:val="32"/>
    </w:rPr>
  </w:style>
  <w:style w:type="paragraph" w:styleId="Heading2">
    <w:name w:val="Heading 2"/>
    <w:basedOn w:val="Normal"/>
    <w:next w:val="Normal"/>
    <w:qFormat/>
    <w:pPr>
      <w:spacing w:after="100" w:before="280"/>
    </w:pPr>
    <w:rPr>
      <w:rFonts w:ascii="Arial" w:cs="Arial" w:eastAsia="Arial" w:hAnsi="Arial"/>
      <w:b/>
      <w:bCs/>
      <w:color w:val="0F172A"/>
      <w:sz w:val="26"/>
      <w:szCs w:val="26"/>
    </w:rPr>
  </w:style>
  <w:style w:type="paragraph" w:styleId="Heading3">
    <w:name w:val="Heading 3"/>
    <w:basedOn w:val="Normal"/>
    <w:next w:val="Normal"/>
    <w:qFormat/>
    <w:pPr>
      <w:spacing w:after="80" w:before="200"/>
    </w:pPr>
    <w:rPr>
      <w:rFonts w:ascii="Arial" w:cs="Arial" w:eastAsia="Arial" w:hAnsi="Arial"/>
      <w:b/>
      <w:bCs/>
      <w:color w:val="334155"/>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05d09fbf4b97709ffa426f4976c0a1ee38554828.png"/><Relationship Id="rId10" Type="http://schemas.openxmlformats.org/officeDocument/2006/relationships/image" Target="media/27ee2a0fd10c0611da71267dd37636522e8d468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2026-10-07T18:36:10.499Z</dcterms:created>
  <dcterms:modified xsi:type="dcterms:W3CDTF">2026-10-07T18:36:10.500Z</dcterms:modified>
</cp:coreProperties>
</file>

<file path=docProps/custom.xml><?xml version="1.0" encoding="utf-8"?>
<Properties xmlns="http://schemas.openxmlformats.org/officeDocument/2006/custom-properties" xmlns:vt="http://schemas.openxmlformats.org/officeDocument/2006/docPropsVTypes"/>
</file>