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v1.5.3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Notebooks, Sources, Custom Agents, Chat Sessions, Memories &amp; Artifacts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individual integrity auditing.</w:t>
      </w:r>
    </w:p>
    <w:p>
      <w:pPr>
        <w:pStyle w:val="ListParagraph"/>
        <w:numPr>
          <w:ilvl w:val="0"/>
          <w:numId w:val="1"/>
        </w:numPr>
        <w:spacing w:after="60" w:line="260"/>
      </w:pPr>
      <w:r>
        <w:rPr>
          <w:rFonts w:ascii="Arial" w:cs="Arial" w:eastAsia="Arial" w:hAnsi="Arial"/>
          <w:b/>
          <w:bCs/>
          <w:color w:val="0F172A"/>
          <w:sz w:val="21"/>
          <w:szCs w:val="21"/>
        </w:rPr>
        <w:t xml:space="preserve">Custom Agents &amp; Tool Attachments</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while intelligently ignoring built-in 1P Google templates.</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w:t>
      </w:r>
      <w:r>
        <w:rPr>
          <w:rFonts w:ascii="Arial" w:cs="Arial" w:eastAsia="Arial" w:hAnsi="Arial"/>
          <w:color w:val="1E293B"/>
          <w:sz w:val="21"/>
          <w:szCs w:val="21"/>
        </w:rPr>
        <w:t xml:space="preserve">: Discovers and exports user preferences, role profiles, and learned memory facts.</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 (Step 2)</w:t>
      </w:r>
    </w:p>
    <w:p>
      <w:pPr>
        <w:spacing w:after="120" w:line="276"/>
      </w:pPr>
      <w:r>
        <w:rPr>
          <w:rFonts w:ascii="Arial" w:cs="Arial" w:eastAsia="Arial" w:hAnsi="Arial"/>
          <w:color w:val="1E293B"/>
          <w:sz w:val="21"/>
          <w:szCs w:val="21"/>
        </w:rPr>
        <w:t xml:space="preserve">Before executing a migration run, administrators execute a Configuration Pre-Check in </w:t>
      </w:r>
      <w:r>
        <w:rPr>
          <w:rFonts w:ascii="Arial" w:cs="Arial" w:eastAsia="Arial" w:hAnsi="Arial"/>
          <w:b/>
          <w:bCs/>
          <w:color w:val="0F172A"/>
          <w:sz w:val="21"/>
          <w:szCs w:val="21"/>
        </w:rPr>
        <w:t xml:space="preserve">Step 2: Config &amp; Parity Audit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#audit</w:t>
      </w:r>
      <w:r>
        <w:rPr>
          <w:rFonts w:ascii="Arial" w:cs="Arial" w:eastAsia="Arial" w:hAnsi="Arial"/>
          <w:color w:val="1E293B"/>
          <w:sz w:val="21"/>
          <w:szCs w:val="21"/>
        </w:rPr>
        <w:t xml:space="preserve">) to ensure that the target environment has all required feature toggles, security settings, and DataStores configured to support the migrated assets.</w:t>
      </w:r>
    </w:p>
    <w:p>
      <w:pPr>
        <w:pBdr>
          <w:left w:val="single" w:color="EA580C" w:sz="24" w:space="140"/>
        </w:pBdr>
        <w:shd w:fill="FFF7ED"/>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pStyle w:val="Heading2"/>
        <w:spacing w:after="120" w:before="280"/>
      </w:pPr>
      <w:r>
        <w:t xml:space="preserve">Interactive Step 2 Environment Selector &amp; Bi-Directional Sync</w:t>
      </w:r>
    </w:p>
    <w:p>
      <w:pPr>
        <w:pStyle w:val="ListParagraph"/>
        <w:numPr>
          <w:ilvl w:val="0"/>
          <w:numId w:val="1"/>
        </w:numPr>
        <w:spacing w:after="60" w:line="260"/>
      </w:pPr>
      <w:r>
        <w:rPr>
          <w:rFonts w:ascii="Arial" w:cs="Arial" w:eastAsia="Arial" w:hAnsi="Arial"/>
          <w:b/>
          <w:bCs/>
          <w:color w:val="0F172A"/>
          <w:sz w:val="21"/>
          <w:szCs w:val="21"/>
        </w:rPr>
        <w:t xml:space="preserve">Direct Environment Configuration</w:t>
      </w:r>
      <w:r>
        <w:rPr>
          <w:rFonts w:ascii="Arial" w:cs="Arial" w:eastAsia="Arial" w:hAnsi="Arial"/>
          <w:color w:val="1E293B"/>
          <w:sz w:val="21"/>
          <w:szCs w:val="21"/>
        </w:rPr>
        <w:t xml:space="preserve">: Step 2 features interactive Source and Target environment cards allowing administrators to configure Source Project ID, Region, Collection, and Engine/App ID as well as Target Project ID, Region, Collection, and Engine/App ID directly.</w:t>
      </w:r>
    </w:p>
    <w:p>
      <w:pPr>
        <w:pStyle w:val="ListParagraph"/>
        <w:numPr>
          <w:ilvl w:val="0"/>
          <w:numId w:val="1"/>
        </w:numPr>
        <w:spacing w:after="60" w:line="260"/>
      </w:pPr>
      <w:r>
        <w:rPr>
          <w:rFonts w:ascii="Arial" w:cs="Arial" w:eastAsia="Arial" w:hAnsi="Arial"/>
          <w:b/>
          <w:bCs/>
          <w:color w:val="0F172A"/>
          <w:sz w:val="21"/>
          <w:szCs w:val="21"/>
        </w:rPr>
        <w:t xml:space="preserve">Real-Time Bi-Directional Synchronization</w:t>
      </w:r>
      <w:r>
        <w:rPr>
          <w:rFonts w:ascii="Arial" w:cs="Arial" w:eastAsia="Arial" w:hAnsi="Arial"/>
          <w:color w:val="1E293B"/>
          <w:sz w:val="21"/>
          <w:szCs w:val="21"/>
        </w:rPr>
        <w:t xml:space="preserve">: Any configuration changed in Step 2 automatically synchronizes to Step 3 (Migration Studio), and vice-versa.</w:t>
      </w:r>
    </w:p>
    <w:p>
      <w:pPr>
        <w:pStyle w:val="ListParagraph"/>
        <w:numPr>
          <w:ilvl w:val="0"/>
          <w:numId w:val="1"/>
        </w:numPr>
        <w:spacing w:after="60" w:line="260"/>
      </w:pPr>
      <w:r>
        <w:rPr>
          <w:rFonts w:ascii="Arial" w:cs="Arial" w:eastAsia="Arial" w:hAnsi="Arial"/>
          <w:b/>
          <w:bCs/>
          <w:color w:val="0F172A"/>
          <w:sz w:val="21"/>
          <w:szCs w:val="21"/>
        </w:rPr>
        <w:t xml:space="preserve">Guided Empty-State Guardrail</w:t>
      </w:r>
      <w:r>
        <w:rPr>
          <w:rFonts w:ascii="Arial" w:cs="Arial" w:eastAsia="Arial" w:hAnsi="Arial"/>
          <w:color w:val="1E293B"/>
          <w:sz w:val="21"/>
          <w:szCs w:val="21"/>
        </w:rPr>
        <w:t xml:space="preserve">: Prevents premature API calls when project IDs are unconfigured, guiding the operator with actionable instructions.</w:t>
      </w:r>
    </w:p>
    <w:p>
      <w:pPr>
        <w:pStyle w:val="ListParagraph"/>
        <w:numPr>
          <w:ilvl w:val="0"/>
          <w:numId w:val="1"/>
        </w:numPr>
        <w:spacing w:after="60" w:line="260"/>
      </w:pPr>
      <w:r>
        <w:rPr>
          <w:rFonts w:ascii="Arial" w:cs="Arial" w:eastAsia="Arial" w:hAnsi="Arial"/>
          <w:b/>
          <w:bCs/>
          <w:color w:val="0F172A"/>
          <w:sz w:val="21"/>
          <w:szCs w:val="21"/>
        </w:rPr>
        <w:t xml:space="preserve">Parity Readiness Score (0–100%)</w:t>
      </w:r>
      <w:r>
        <w:rPr>
          <w:rFonts w:ascii="Arial" w:cs="Arial" w:eastAsia="Arial" w:hAnsi="Arial"/>
          <w:color w:val="1E293B"/>
          <w:sz w:val="21"/>
          <w:szCs w:val="21"/>
        </w:rPr>
        <w:t xml:space="preserve">: Analyzes more than 100 configuration points across engine feature flags and attached DataStores.</w:t>
      </w:r>
    </w:p>
    <w:p>
      <w:pPr>
        <w:pStyle w:val="ListParagraph"/>
        <w:numPr>
          <w:ilvl w:val="0"/>
          <w:numId w:val="1"/>
        </w:numPr>
        <w:spacing w:after="60" w:line="260"/>
      </w:pPr>
      <w:r>
        <w:rPr>
          <w:rFonts w:ascii="Arial" w:cs="Arial" w:eastAsia="Arial" w:hAnsi="Arial"/>
          <w:b/>
          <w:bCs/>
          <w:color w:val="0F172A"/>
          <w:sz w:val="21"/>
          <w:szCs w:val="21"/>
        </w:rPr>
        <w:t xml:space="preserve">Wizard Progression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Next: Proceed to Step 3: Migration Studio</w:t>
      </w:r>
      <w:r>
        <w:rPr>
          <w:rFonts w:ascii="Arial" w:cs="Arial" w:eastAsia="Arial" w:hAnsi="Arial"/>
          <w:color w:val="1E293B"/>
          <w:sz w:val="21"/>
          <w:szCs w:val="21"/>
        </w:rPr>
        <w:t xml:space="preserve"> at the bottom of the audit report to carry configured environments forward.</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offers a </w:t>
      </w:r>
      <w:r>
        <w:rPr>
          <w:rFonts w:ascii="Arial" w:cs="Arial" w:eastAsia="Arial" w:hAnsi="Arial"/>
          <w:b/>
          <w:bCs/>
          <w:color w:val="0F172A"/>
          <w:sz w:val="21"/>
          <w:szCs w:val="21"/>
        </w:rPr>
        <w:t xml:space="preserve">1-Click Sync Target Engine Settings</w:t>
      </w:r>
      <w:r>
        <w:rPr>
          <w:rFonts w:ascii="Arial" w:cs="Arial" w:eastAsia="Arial" w:hAnsi="Arial"/>
          <w:color w:val="1E293B"/>
          <w:sz w:val="21"/>
          <w:szCs w:val="21"/>
        </w:rPr>
        <w:t xml:space="preserve"> button (</w:t>
      </w:r>
      <w:r>
        <w:rPr>
          <w:rFonts w:ascii="Consolas" w:cs="Consolas" w:eastAsia="Consolas" w:hAnsi="Consolas"/>
          <w:color w:val="0F172A"/>
          <w:sz w:val="19"/>
          <w:szCs w:val="19"/>
          <w:shd w:fill="F1F5F9"/>
        </w:rPr>
        <w:t xml:space="preserve">PATCH</w:t>
      </w:r>
      <w:r>
        <w:rPr>
          <w:rFonts w:ascii="Arial" w:cs="Arial" w:eastAsia="Arial" w:hAnsi="Arial"/>
          <w:color w:val="1E293B"/>
          <w:sz w:val="21"/>
          <w:szCs w:val="21"/>
        </w:rPr>
        <w:t xml:space="preserve"> API) and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 (Step 3: Migration Studio)</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#studio</w:t>
      </w:r>
      <w:r>
        <w:rPr>
          <w:rFonts w:ascii="Arial" w:cs="Arial" w:eastAsia="Arial" w:hAnsi="Arial"/>
          <w:color w:val="1E293B"/>
          <w:sz w:val="21"/>
          <w:szCs w:val="21"/>
        </w:rPr>
        <w:t xml:space="preserve">) tab, review or adjust the synchronized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rPr>
        <w:t xml:space="preserve">testgebackupandrestorev3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to tailor the migration scope: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Checkbox</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all attached PDFs, URLs, and YouTube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Skills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User-Created Skills in Agent Registry</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Migrates custom skills in agentregistry.googleapis.com while ignoring built-in 1P Google templates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rPr>
              <w:t xml:space="preserve">.mp4</w:t>
            </w:r>
            <w:r>
              <w:rPr>
                <w:rFonts w:ascii="Arial" w:cs="Arial" w:eastAsia="Arial" w:hAnsi="Arial"/>
                <w:color w:val="1E293B"/>
                <w:sz w:val="21"/>
                <w:szCs w:val="21"/>
              </w:rPr>
              <w:t xml:space="preserve"> videos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and logging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Execute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 Execute Pre-Flight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 Migrates custom skills in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 Creates target agents as editable drafts with preserved system instructions.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 Backs up and migrates discovered user facts.</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1"/>
        <w:spacing w:after="140" w:before="360"/>
      </w:pPr>
      <w:r>
        <w:t xml:space="preserve">7. Migration Reports &amp; Reconciliation Auditing (Step 4)</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ListParagraph"/>
        <w:numPr>
          <w:ilvl w:val="0"/>
          <w:numId w:val="1"/>
        </w:numPr>
        <w:spacing w:after="60" w:line="260"/>
      </w:pPr>
      <w:r>
        <w:rPr>
          <w:rFonts w:ascii="Arial" w:cs="Arial" w:eastAsia="Arial" w:hAnsi="Arial"/>
          <w:b/>
          <w:bCs/>
          <w:color w:val="0F172A"/>
          <w:sz w:val="21"/>
          <w:szCs w:val="21"/>
        </w:rPr>
        <w:t xml:space="preserve">JSON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reports/migration-report-&lt;ID&gt;-&lt;TIMESTAMP&gt;.json</w:t>
      </w:r>
      <w:r>
        <w:rPr>
          <w:rFonts w:ascii="Arial" w:cs="Arial" w:eastAsia="Arial" w:hAnsi="Arial"/>
          <w:color w:val="1E293B"/>
          <w:sz w:val="21"/>
          <w:szCs w:val="21"/>
        </w:rPr>
        <w:t xml:space="preserve">): Structured telemetry schema for SIEM or enterprise database logging.</w:t>
      </w:r>
    </w:p>
    <w:p>
      <w:pPr>
        <w:pStyle w:val="ListParagraph"/>
        <w:numPr>
          <w:ilvl w:val="0"/>
          <w:numId w:val="1"/>
        </w:numPr>
        <w:spacing w:after="60" w:line="260"/>
      </w:pPr>
      <w:r>
        <w:rPr>
          <w:rFonts w:ascii="Arial" w:cs="Arial" w:eastAsia="Arial" w:hAnsi="Arial"/>
          <w:b/>
          <w:bCs/>
          <w:color w:val="0F172A"/>
          <w:sz w:val="21"/>
          <w:szCs w:val="21"/>
        </w:rPr>
        <w:t xml:space="preserve">User Reconciliation Matrix</w:t>
      </w:r>
      <w:r>
        <w:rPr>
          <w:rFonts w:ascii="Arial" w:cs="Arial" w:eastAsia="Arial" w:hAnsi="Arial"/>
          <w:color w:val="1E293B"/>
          <w:sz w:val="21"/>
          <w:szCs w:val="21"/>
        </w:rPr>
        <w:t xml:space="preserve">: Comprehensive table matching each source user identity with their target Google identity, listing restored vs. failed counts across all asset categories.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2.5: Migration Report and User Reconciliation Matrix in Web Console</w:t>
      </w:r>
    </w:p>
    <w:p>
      <w:pPr>
        <w:pStyle w:val="Heading1"/>
        <w:spacing w:after="140" w:before="360"/>
      </w:pPr>
      <w:r>
        <w:t xml:space="preserve">8. User Handover Delivery &amp; Notification Engine (Step 5)</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 along with explicit warnings if any asset types were skipped.</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Migration Handover Notification Received in Gmail with Attachments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Multi-Part Handover Thread with Partitioned Attachments in Gmail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User Handover &amp; Email Delivery Console Tab</w:t>
      </w:r>
    </w:p>
    <w:p>
      <w:pPr>
        <w:pStyle w:val="Heading1"/>
        <w:spacing w:after="140" w:before="360"/>
      </w:pPr>
      <w:r>
        <w:t xml:space="preserve">9. Auth &amp; Identity Provider Configuration Wizard (Step 1: DWD &amp; WiF)</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Auth &amp; WiF Wizard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#wizard</w:t>
      </w:r>
      <w:r>
        <w:rPr>
          <w:rFonts w:ascii="Arial" w:cs="Arial" w:eastAsia="Arial" w:hAnsi="Arial"/>
          <w:color w:val="1E293B"/>
          <w:sz w:val="21"/>
          <w:szCs w:val="21"/>
        </w:rPr>
        <w:t xml:space="preserve">) provides an interactive, guided interface to configure and test authentication protocols across Google Workspace and external Identity Providers (Microsoft Entra ID, Okta, Ping).</w:t>
      </w:r>
    </w:p>
    <w:p>
      <w:pPr>
        <w:pStyle w:val="Heading2"/>
        <w:spacing w:after="120" w:before="280"/>
      </w:pPr>
      <w:r>
        <w:t xml:space="preserve">9.1 Domain-Wide Delegation (DWD) &amp; Cross-Project IAM Generator</w:t>
      </w:r>
    </w:p>
    <w:p>
      <w:pPr>
        <w:pStyle w:val="ListParagraph"/>
        <w:numPr>
          <w:ilvl w:val="0"/>
          <w:numId w:val="1"/>
        </w:numPr>
        <w:spacing w:after="60" w:line="260"/>
      </w:pPr>
      <w:r>
        <w:rPr>
          <w:rFonts w:ascii="Arial" w:cs="Arial" w:eastAsia="Arial" w:hAnsi="Arial"/>
          <w:b/>
          <w:bCs/>
          <w:color w:val="0F172A"/>
          <w:sz w:val="21"/>
          <w:szCs w:val="21"/>
        </w:rPr>
        <w:t xml:space="preserve">Dual Project Topology Input</w:t>
      </w:r>
      <w:r>
        <w:rPr>
          <w:rFonts w:ascii="Arial" w:cs="Arial" w:eastAsia="Arial" w:hAnsi="Arial"/>
          <w:color w:val="1E293B"/>
          <w:sz w:val="21"/>
          <w:szCs w:val="21"/>
        </w:rPr>
        <w:t xml:space="preserve">: Accepts both </w:t>
      </w:r>
      <w:r>
        <w:rPr>
          <w:rFonts w:ascii="Arial" w:cs="Arial" w:eastAsia="Arial" w:hAnsi="Arial"/>
          <w:b/>
          <w:bCs/>
          <w:color w:val="0F172A"/>
          <w:sz w:val="21"/>
          <w:szCs w:val="21"/>
        </w:rPr>
        <w:t xml:space="preserve">Source GCP Project ID</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Target GCP Project ID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wizDwdSrcProject</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wizDwdProject</w:t>
      </w:r>
      <w:r>
        <w:rPr>
          <w:rFonts w:ascii="Arial" w:cs="Arial" w:eastAsia="Arial" w:hAnsi="Arial"/>
          <w:color w:val="1E293B"/>
          <w:sz w:val="21"/>
          <w:szCs w:val="21"/>
        </w:rPr>
        <w:t xml:space="preserve">), automatically synchronizing with Step 2 and Step 3.</w:t>
      </w:r>
    </w:p>
    <w:p>
      <w:pPr>
        <w:pStyle w:val="ListParagraph"/>
        <w:numPr>
          <w:ilvl w:val="0"/>
          <w:numId w:val="1"/>
        </w:numPr>
        <w:spacing w:after="60" w:line="260"/>
      </w:pPr>
      <w:r>
        <w:rPr>
          <w:rFonts w:ascii="Arial" w:cs="Arial" w:eastAsia="Arial" w:hAnsi="Arial"/>
          <w:b/>
          <w:bCs/>
          <w:color w:val="0F172A"/>
          <w:sz w:val="21"/>
          <w:szCs w:val="21"/>
        </w:rPr>
        <w:t xml:space="preserve">Cross-Project IAM Command Generator</w:t>
      </w:r>
      <w:r>
        <w:rPr>
          <w:rFonts w:ascii="Arial" w:cs="Arial" w:eastAsia="Arial" w:hAnsi="Arial"/>
          <w:color w:val="1E293B"/>
          <w:sz w:val="21"/>
          <w:szCs w:val="21"/>
        </w:rPr>
        <w:t xml:space="preserve">: Generates copy-paste ready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CLI commands granting </w:t>
      </w:r>
      <w:r>
        <w:rPr>
          <w:rFonts w:ascii="Consolas" w:cs="Consolas" w:eastAsia="Consolas" w:hAnsi="Consolas"/>
          <w:color w:val="0F172A"/>
          <w:sz w:val="19"/>
          <w:szCs w:val="19"/>
          <w:shd w:fill="F1F5F9"/>
        </w:rPr>
        <w:t xml:space="preserve">roles/discoveryengine.admin</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across </w:t>
      </w:r>
      <w:r>
        <w:rPr>
          <w:rFonts w:ascii="Arial" w:cs="Arial" w:eastAsia="Arial" w:hAnsi="Arial"/>
          <w:b/>
          <w:bCs/>
          <w:color w:val="0F172A"/>
          <w:sz w:val="21"/>
          <w:szCs w:val="21"/>
        </w:rPr>
        <w:t xml:space="preserve">both</w:t>
      </w:r>
      <w:r>
        <w:rPr>
          <w:rFonts w:ascii="Arial" w:cs="Arial" w:eastAsia="Arial" w:hAnsi="Arial"/>
          <w:color w:val="1E293B"/>
          <w:sz w:val="21"/>
          <w:szCs w:val="21"/>
        </w:rPr>
        <w:t xml:space="preserve"> Source and Target environments, along with an Architecture Explainer clarifying user impersonation vs administrative pipeline permissions.</w:t>
      </w:r>
    </w:p>
    <w:p>
      <w:pPr>
        <w:pStyle w:val="ListParagraph"/>
        <w:numPr>
          <w:ilvl w:val="0"/>
          <w:numId w:val="1"/>
        </w:numPr>
        <w:spacing w:after="60" w:line="260"/>
      </w:pPr>
      <w:r>
        <w:rPr>
          <w:rFonts w:ascii="Arial" w:cs="Arial" w:eastAsia="Arial" w:hAnsi="Arial"/>
          <w:b/>
          <w:bCs/>
          <w:color w:val="0F172A"/>
          <w:sz w:val="21"/>
          <w:szCs w:val="21"/>
        </w:rPr>
        <w:t xml:space="preserve">Check Org Policies</w:t>
      </w:r>
      <w:r>
        <w:rPr>
          <w:rFonts w:ascii="Arial" w:cs="Arial" w:eastAsia="Arial" w:hAnsi="Arial"/>
          <w:color w:val="1E293B"/>
          <w:sz w:val="21"/>
          <w:szCs w:val="21"/>
        </w:rPr>
        <w:t xml:space="preserve">: Performs live inspection of target project organization policies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iam.disableCrossProjectServiceAccountUsage</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Conflict Detection</w:t>
      </w:r>
      <w:r>
        <w:rPr>
          <w:rFonts w:ascii="Arial" w:cs="Arial" w:eastAsia="Arial" w:hAnsi="Arial"/>
          <w:color w:val="1E293B"/>
          <w:sz w:val="21"/>
          <w:szCs w:val="21"/>
        </w:rPr>
        <w:t xml:space="preserve">: If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is active, an alert banner warns the operator before executing CLI commands that creating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will fail.</w:t>
      </w:r>
    </w:p>
    <w:p>
      <w:pPr>
        <w:pStyle w:val="ListParagraph"/>
        <w:numPr>
          <w:ilvl w:val="0"/>
          <w:numId w:val="1"/>
        </w:numPr>
        <w:spacing w:after="60" w:line="260"/>
      </w:pPr>
      <w:r>
        <w:rPr>
          <w:rFonts w:ascii="Arial" w:cs="Arial" w:eastAsia="Arial" w:hAnsi="Arial"/>
          <w:b/>
          <w:bCs/>
          <w:color w:val="0F172A"/>
          <w:sz w:val="21"/>
          <w:szCs w:val="21"/>
        </w:rPr>
        <w:t xml:space="preserve">1-Click Project Override</w:t>
      </w:r>
      <w:r>
        <w:rPr>
          <w:rFonts w:ascii="Arial" w:cs="Arial" w:eastAsia="Arial" w:hAnsi="Arial"/>
          <w:color w:val="1E293B"/>
          <w:sz w:val="21"/>
          <w:szCs w:val="21"/>
        </w:rPr>
        <w:t xml:space="preserve">: Operators holding </w:t>
      </w:r>
      <w:r>
        <w:rPr>
          <w:rFonts w:ascii="Consolas" w:cs="Consolas" w:eastAsia="Consolas" w:hAnsi="Consolas"/>
          <w:color w:val="0F172A"/>
          <w:sz w:val="19"/>
          <w:szCs w:val="19"/>
          <w:shd w:fill="F1F5F9"/>
        </w:rPr>
        <w:t xml:space="preserve">roles/orgpolicy.policyAdmin</w:t>
      </w:r>
      <w:r>
        <w:rPr>
          <w:rFonts w:ascii="Arial" w:cs="Arial" w:eastAsia="Arial" w:hAnsi="Arial"/>
          <w:color w:val="1E293B"/>
          <w:sz w:val="21"/>
          <w:szCs w:val="21"/>
        </w:rPr>
        <w:t xml:space="preserve"> can click the 1-Click Project Override button to automatically apply a project-scoped exemption (</w:t>
      </w:r>
      <w:r>
        <w:rPr>
          <w:rFonts w:ascii="Consolas" w:cs="Consolas" w:eastAsia="Consolas" w:hAnsi="Consolas"/>
          <w:color w:val="0F172A"/>
          <w:sz w:val="19"/>
          <w:szCs w:val="19"/>
          <w:shd w:fill="F1F5F9"/>
        </w:rPr>
        <w:t xml:space="preserve">enforce: false</w:t>
      </w:r>
      <w:r>
        <w:rPr>
          <w:rFonts w:ascii="Arial" w:cs="Arial" w:eastAsia="Arial" w:hAnsi="Arial"/>
          <w:color w:val="1E293B"/>
          <w:sz w:val="21"/>
          <w:szCs w:val="21"/>
        </w:rPr>
        <w:t xml:space="preserve">) without modifying parent organizational policies.</w:t>
      </w:r>
    </w:p>
    <w:p>
      <w:pPr>
        <w:pStyle w:val="ListParagraph"/>
        <w:numPr>
          <w:ilvl w:val="0"/>
          <w:numId w:val="1"/>
        </w:numPr>
        <w:spacing w:after="60" w:line="260"/>
      </w:pPr>
      <w:r>
        <w:rPr>
          <w:rFonts w:ascii="Arial" w:cs="Arial" w:eastAsia="Arial" w:hAnsi="Arial"/>
          <w:b/>
          <w:bCs/>
          <w:color w:val="0F172A"/>
          <w:sz w:val="21"/>
          <w:szCs w:val="21"/>
        </w:rPr>
        <w:t xml:space="preserve">Live DWD Impersonation Test</w:t>
      </w:r>
      <w:r>
        <w:rPr>
          <w:rFonts w:ascii="Arial" w:cs="Arial" w:eastAsia="Arial" w:hAnsi="Arial"/>
          <w:color w:val="1E293B"/>
          <w:sz w:val="21"/>
          <w:szCs w:val="21"/>
        </w:rPr>
        <w:t xml:space="preserve">: Validates that minted user-scoped OAuth2 tokens function against Discovery Engine APIs.</w:t>
      </w:r>
    </w:p>
    <w:p>
      <w:pPr>
        <w:pStyle w:val="Heading2"/>
        <w:spacing w:after="120" w:before="280"/>
      </w:pPr>
      <w:r>
        <w:t xml:space="preserve">9.2 Workforce Identity Federation (WiF) — Keyless Enterprise Path</w:t>
      </w:r>
    </w:p>
    <w:p>
      <w:pPr>
        <w:pStyle w:val="ListParagraph"/>
        <w:numPr>
          <w:ilvl w:val="0"/>
          <w:numId w:val="1"/>
        </w:numPr>
        <w:spacing w:after="60" w:line="260"/>
      </w:pPr>
      <w:r>
        <w:rPr>
          <w:rFonts w:ascii="Arial" w:cs="Arial" w:eastAsia="Arial" w:hAnsi="Arial"/>
          <w:b/>
          <w:bCs/>
          <w:color w:val="0F172A"/>
          <w:sz w:val="21"/>
          <w:szCs w:val="21"/>
        </w:rPr>
        <w:t xml:space="preserve">Keyless Architecture</w:t>
      </w:r>
      <w:r>
        <w:rPr>
          <w:rFonts w:ascii="Arial" w:cs="Arial" w:eastAsia="Arial" w:hAnsi="Arial"/>
          <w:color w:val="1E293B"/>
          <w:sz w:val="21"/>
          <w:szCs w:val="21"/>
        </w:rPr>
        <w:t xml:space="preserve">: WiF exchanges external OIDC/SAML tokens with Google Cloud Security Token Service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to mint short-lived tokens and is </w:t>
      </w:r>
      <w:r>
        <w:rPr>
          <w:rFonts w:ascii="Arial" w:cs="Arial" w:eastAsia="Arial" w:hAnsi="Arial"/>
          <w:b/>
          <w:bCs/>
          <w:color w:val="0F172A"/>
          <w:sz w:val="21"/>
          <w:szCs w:val="21"/>
        </w:rPr>
        <w:t xml:space="preserve">100% exempt from `iam.disableServiceAccountKeyCreation`</w:t>
      </w:r>
      <w:r>
        <w:rPr>
          <w:rFonts w:ascii="Arial" w:cs="Arial" w:eastAsia="Arial" w:hAnsi="Arial"/>
          <w:color w:val="1E293B"/>
          <w:sz w:val="21"/>
          <w:szCs w:val="21"/>
        </w:rPr>
        <w:t xml:space="preserve"> and key upload policies.</w:t>
      </w:r>
    </w:p>
    <w:p>
      <w:pPr>
        <w:pStyle w:val="ListParagraph"/>
        <w:numPr>
          <w:ilvl w:val="0"/>
          <w:numId w:val="1"/>
        </w:numPr>
        <w:spacing w:after="60" w:line="260"/>
      </w:pPr>
      <w:r>
        <w:rPr>
          <w:rFonts w:ascii="Arial" w:cs="Arial" w:eastAsia="Arial" w:hAnsi="Arial"/>
          <w:b/>
          <w:bCs/>
          <w:color w:val="0F172A"/>
          <w:sz w:val="21"/>
          <w:szCs w:val="21"/>
        </w:rPr>
        <w:t xml:space="preserve">Truthful Live SA Impersonation Verification (`generateAccessToken`)</w:t>
      </w:r>
      <w:r>
        <w:rPr>
          <w:rFonts w:ascii="Arial" w:cs="Arial" w:eastAsia="Arial" w:hAnsi="Arial"/>
          <w:color w:val="1E293B"/>
          <w:sz w:val="21"/>
          <w:szCs w:val="21"/>
        </w:rPr>
        <w:t xml:space="preserve">: When testing WiF impersonation (</w:t>
      </w:r>
      <w:r>
        <w:rPr>
          <w:rFonts w:ascii="Consolas" w:cs="Consolas" w:eastAsia="Consolas" w:hAnsi="Consolas"/>
          <w:color w:val="0F172A"/>
          <w:sz w:val="19"/>
          <w:szCs w:val="19"/>
          <w:shd w:fill="F1F5F9"/>
        </w:rPr>
        <w:t xml:space="preserve">/api/wizard/test-wif</w:t>
      </w:r>
      <w:r>
        <w:rPr>
          <w:rFonts w:ascii="Arial" w:cs="Arial" w:eastAsia="Arial" w:hAnsi="Arial"/>
          <w:color w:val="1E293B"/>
          <w:sz w:val="21"/>
          <w:szCs w:val="21"/>
        </w:rPr>
        <w:t xml:space="preserve">), the console performs a live token exchange against the </w:t>
      </w:r>
      <w:r>
        <w:rPr>
          <w:rFonts w:ascii="Arial" w:cs="Arial" w:eastAsia="Arial" w:hAnsi="Arial"/>
          <w:b/>
          <w:bCs/>
          <w:color w:val="0F172A"/>
          <w:sz w:val="21"/>
          <w:szCs w:val="21"/>
        </w:rPr>
        <w:t xml:space="preserve">Google Cloud IAM Credentials API</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serviceAccounts.generateAccessToken</w:t>
      </w:r>
      <w:r>
        <w:rPr>
          <w:rFonts w:ascii="Arial" w:cs="Arial" w:eastAsia="Arial" w:hAnsi="Arial"/>
          <w:color w:val="1E293B"/>
          <w:sz w:val="21"/>
          <w:szCs w:val="21"/>
        </w:rPr>
        <w:t xml:space="preserve">). If the caller or workforce pool lacks </w:t>
      </w:r>
      <w:r>
        <w:rPr>
          <w:rFonts w:ascii="Consolas" w:cs="Consolas" w:eastAsia="Consolas" w:hAnsi="Consolas"/>
          <w:color w:val="0F172A"/>
          <w:sz w:val="19"/>
          <w:szCs w:val="19"/>
          <w:shd w:fill="F1F5F9"/>
        </w:rPr>
        <w:t xml:space="preserve">roles/iam.serviceAccountTokenCreator</w:t>
      </w:r>
      <w:r>
        <w:rPr>
          <w:rFonts w:ascii="Arial" w:cs="Arial" w:eastAsia="Arial" w:hAnsi="Arial"/>
          <w:color w:val="1E293B"/>
          <w:sz w:val="21"/>
          <w:szCs w:val="21"/>
        </w:rPr>
        <w:t xml:space="preserve"> on the target service account, the test fails truthfully with actionable error context rather than simulating success.</w:t>
      </w:r>
    </w:p>
    <w:p>
      <w:pPr>
        <w:pStyle w:val="ListParagraph"/>
        <w:numPr>
          <w:ilvl w:val="0"/>
          <w:numId w:val="1"/>
        </w:numPr>
        <w:spacing w:after="60" w:line="260"/>
      </w:pPr>
      <w:r>
        <w:rPr>
          <w:rFonts w:ascii="Arial" w:cs="Arial" w:eastAsia="Arial" w:hAnsi="Arial"/>
          <w:b/>
          <w:bCs/>
          <w:color w:val="0F172A"/>
          <w:sz w:val="21"/>
          <w:szCs w:val="21"/>
        </w:rPr>
        <w:t xml:space="preserve">Domain Sharing Validation</w:t>
      </w:r>
      <w:r>
        <w:rPr>
          <w:rFonts w:ascii="Arial" w:cs="Arial" w:eastAsia="Arial" w:hAnsi="Arial"/>
          <w:color w:val="1E293B"/>
          <w:sz w:val="21"/>
          <w:szCs w:val="21"/>
        </w:rPr>
        <w:t xml:space="preserve">: Verifies that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 permits workforce pool principals (</w:t>
      </w:r>
      <w:r>
        <w:rPr>
          <w:rFonts w:ascii="Consolas" w:cs="Consolas" w:eastAsia="Consolas" w:hAnsi="Consolas"/>
          <w:color w:val="0F172A"/>
          <w:sz w:val="19"/>
          <w:szCs w:val="19"/>
          <w:shd w:fill="F1F5F9"/>
        </w:rPr>
        <w:t xml:space="preserve">is:principalSet://iam.googleapis.com/organizations/&lt;org-id&gt;</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Live GCP Verification</w:t>
      </w:r>
      <w:r>
        <w:rPr>
          <w:rFonts w:ascii="Arial" w:cs="Arial" w:eastAsia="Arial" w:hAnsi="Arial"/>
          <w:color w:val="1E293B"/>
          <w:sz w:val="21"/>
          <w:szCs w:val="21"/>
        </w:rPr>
        <w:t xml:space="preserve">: The Verify Live in GCP button tests workforce pools and OIDC providers directly in Google Cloud.</w:t>
      </w:r>
    </w:p>
    <w:p>
      <w:pPr>
        <w:pStyle w:val="Heading2"/>
        <w:spacing w:after="120" w:before="280"/>
      </w:pPr>
      <w:r>
        <w:t xml:space="preserve">9.3 Permissions &amp; Least-Privilege Auditor</w:t>
      </w:r>
    </w:p>
    <w:p>
      <w:pPr>
        <w:pStyle w:val="ListParagraph"/>
        <w:numPr>
          <w:ilvl w:val="0"/>
          <w:numId w:val="1"/>
        </w:numPr>
        <w:spacing w:after="60" w:line="260"/>
      </w:pPr>
      <w:r>
        <w:rPr>
          <w:rFonts w:ascii="Arial" w:cs="Arial" w:eastAsia="Arial" w:hAnsi="Arial"/>
          <w:color w:val="1E293B"/>
          <w:sz w:val="21"/>
          <w:szCs w:val="21"/>
        </w:rPr>
        <w:t xml:space="preserve">Evaluates Discovery Engine read/write scopes, NotebookLM source access, and Gmail API dispatch scopes.</w:t>
      </w:r>
    </w:p>
    <w:p>
      <w:pPr>
        <w:pStyle w:val="ListParagraph"/>
        <w:numPr>
          <w:ilvl w:val="0"/>
          <w:numId w:val="1"/>
        </w:numPr>
        <w:spacing w:after="60" w:line="260"/>
      </w:pPr>
      <w:r>
        <w:rPr>
          <w:rFonts w:ascii="Arial" w:cs="Arial" w:eastAsia="Arial" w:hAnsi="Arial"/>
          <w:color w:val="1E293B"/>
          <w:sz w:val="21"/>
          <w:szCs w:val="21"/>
        </w:rPr>
        <w:t xml:space="preserve">Flags over-provisioned permissions or destructive deletion privileges.</w:t>
      </w:r>
    </w:p>
    <w:p>
      <w:pPr>
        <w:pStyle w:val="ListParagraph"/>
        <w:numPr>
          <w:ilvl w:val="0"/>
          <w:numId w:val="1"/>
        </w:numPr>
        <w:spacing w:after="60" w:line="260"/>
      </w:pPr>
      <w:r>
        <w:rPr>
          <w:rFonts w:ascii="Arial" w:cs="Arial" w:eastAsia="Arial" w:hAnsi="Arial"/>
          <w:color w:val="1E293B"/>
          <w:sz w:val="21"/>
          <w:szCs w:val="21"/>
        </w:rPr>
        <w:t xml:space="preserve">Runs automated organization policy compliance audits on the target project.</w:t>
      </w:r>
    </w:p>
    <w:p>
      <w:pPr>
        <w:pStyle w:val="ListParagraph"/>
        <w:numPr>
          <w:ilvl w:val="0"/>
          <w:numId w:val="1"/>
        </w:numPr>
        <w:spacing w:after="60" w:line="260"/>
      </w:pPr>
      <w:r>
        <w:rPr>
          <w:rFonts w:ascii="Arial" w:cs="Arial" w:eastAsia="Arial" w:hAnsi="Arial"/>
          <w:color w:val="1E293B"/>
          <w:sz w:val="21"/>
          <w:szCs w:val="21"/>
        </w:rPr>
        <w:t xml:space="preserve">Offers 1-click IAM policy bindings auto-fixes for missing roles.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Auth &amp; Identity Provider Configuration Wizard with Org Policy Pre-Flight</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The Target Maintenance console provides two distinct operational flows: resetting assets between test iterations, or performing a complete teardown of the migration app:</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Selectively cleans migrated assets in the target environment prior to fresh migration runs without disturbing authentication or GCP infrastructure: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User Memories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Purges personalized user facts &amp; memory profiles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Cleans personalization state across all target user scopes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exports/artifacts/</w:t>
            </w:r>
            <w:r>
              <w:rPr>
                <w:rFonts w:ascii="Arial" w:cs="Arial" w:eastAsia="Arial" w:hAnsi="Arial"/>
                <w:color w:val="1E293B"/>
                <w:sz w:val="21"/>
                <w:szCs w:val="21"/>
              </w:rPr>
              <w:t xml:space="preserve"> folder on local disk</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 folder on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 and handover bundles</w:t>
            </w:r>
          </w:p>
        </w:tc>
      </w:tr>
    </w:tbl>
    <w:p>
      <w:pPr>
        <w:spacing w:after="160"/>
      </w:pP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Performs a complete application uninstall and restores your Google Cloud project and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inherited parent default.</w:t>
      </w:r>
    </w:p>
    <w:p>
      <w:pPr>
        <w:pStyle w:val="ListParagraph"/>
        <w:numPr>
          <w:ilvl w:val="0"/>
          <w:numId w:val="1"/>
        </w:numPr>
        <w:spacing w:after="60" w:line="260"/>
      </w:pPr>
      <w:r>
        <w:rPr>
          <w:rFonts w:ascii="Arial" w:cs="Arial" w:eastAsia="Arial" w:hAnsi="Arial"/>
          <w:color w:val="1E293B"/>
          <w:sz w:val="21"/>
          <w:szCs w:val="21"/>
        </w:rPr>
        <w:t xml:space="preserve">Delete Service Account &amp; Strip IAM Roles: Revokes discoveryengine.admin, serviceUsageConsumer, and deletes the service account.</w:t>
      </w:r>
    </w:p>
    <w:p>
      <w:pPr>
        <w:pStyle w:val="ListParagraph"/>
        <w:numPr>
          <w:ilvl w:val="0"/>
          <w:numId w:val="1"/>
        </w:numPr>
        <w:spacing w:after="60" w:line="260"/>
      </w:pPr>
      <w:r>
        <w:rPr>
          <w:rFonts w:ascii="Arial" w:cs="Arial" w:eastAsia="Arial" w:hAnsi="Arial"/>
          <w:color w:val="1E293B"/>
          <w:sz w:val="21"/>
          <w:szCs w:val="21"/>
        </w:rPr>
        <w:t xml:space="preserve">Invalidate Domain-Wide Delegation (DWD): Permanently revokes token minting in GCP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Local Folders: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Execution: gemini-migrate decommission --project &lt;TARGET_PROJECT_ID&gt; --confirm &lt;TARGET_PROJECT_ID&gt;</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Audits cloud and local baseline state across 7 security dimensions. Automatically runs after decommissioning or can be triggered on demand via Web Console ("Verify Rollback State"), Headless CLI (gemini-migrate verify-rollback --project &lt;ID&gt;), or REST API.</w:t>
      </w:r>
    </w:p>
    <w:p>
      <w:pPr>
        <w:pStyle w:val="ListParagraph"/>
        <w:numPr>
          <w:ilvl w:val="0"/>
          <w:numId w:val="1"/>
        </w:numPr>
        <w:spacing w:after="60" w:line="260"/>
      </w:pPr>
      <w:r>
        <w:rPr>
          <w:rFonts w:ascii="Arial" w:cs="Arial" w:eastAsia="Arial" w:hAnsi="Arial"/>
          <w:color w:val="1E293B"/>
          <w:sz w:val="21"/>
          <w:szCs w:val="21"/>
        </w:rPr>
        <w:t xml:space="preserve">Web Console: Tab 6 (Card 2) "Verify Rollback State" button with live audit checklist.</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Target Maintenance &amp; Platform Decommissioning Console</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Open the Auth &amp; WiF Wizard and run Check Org Policies to verify that target project policies permit credential provisioning or apply 1-click project overrides.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14.  </w:t>
      </w:r>
      <w:r>
        <w:rPr>
          <w:rFonts w:ascii="Arial" w:cs="Arial" w:eastAsia="Arial" w:hAnsi="Arial"/>
          <w:color w:val="1E293B"/>
          <w:sz w:val="21"/>
          <w:szCs w:val="21"/>
        </w:rPr>
        <w:t xml:space="preserve">Archive final migration reports for compliance records.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c09fbfcd8bb0da3c855b7750124a5f7b1fde4e36.png"/><Relationship Id="rId14" Type="http://schemas.openxmlformats.org/officeDocument/2006/relationships/image" Target="media/bc39fe155035f8ec4e94c5c0197368b6c227f7fb.png"/><Relationship Id="rId15" Type="http://schemas.openxmlformats.org/officeDocument/2006/relationships/image" Target="media/a2535ce2694b1d9bd14484a0c05d5d1f1002a983.png"/><Relationship Id="rId16" Type="http://schemas.openxmlformats.org/officeDocument/2006/relationships/image" Target="media/346625f76f156e014be82bda5ffdb7f966bd6b4a.png"/><Relationship Id="rId17" Type="http://schemas.openxmlformats.org/officeDocument/2006/relationships/image" Target="media/27ee2a0fd10c0611da71267dd37636522e8d468a.png"/><Relationship Id="rId18" Type="http://schemas.openxmlformats.org/officeDocument/2006/relationships/image" Target="media/2c42efabae59ea5c0e10aecb3c7c61b8fd93827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2026-09-17T16:08:03.312Z</dcterms:created>
  <dcterms:modified xsi:type="dcterms:W3CDTF">2026-09-17T16:08:03.312Z</dcterms:modified>
</cp:coreProperties>
</file>

<file path=docProps/custom.xml><?xml version="1.0" encoding="utf-8"?>
<Properties xmlns="http://schemas.openxmlformats.org/officeDocument/2006/custom-properties" xmlns:vt="http://schemas.openxmlformats.org/officeDocument/2006/docPropsVTypes"/>
</file>