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v1.4.1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Notebooks, Sources, Custom Agents, Chat Sessions, Memories &amp; Artifacts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individual integrity auditing.</w:t>
      </w:r>
    </w:p>
    <w:p>
      <w:pPr>
        <w:pStyle w:val="ListParagraph"/>
        <w:numPr>
          <w:ilvl w:val="0"/>
          <w:numId w:val="1"/>
        </w:numPr>
        <w:spacing w:after="60" w:line="260"/>
      </w:pPr>
      <w:r>
        <w:rPr>
          <w:rFonts w:ascii="Arial" w:cs="Arial" w:eastAsia="Arial" w:hAnsi="Arial"/>
          <w:b/>
          <w:bCs/>
          <w:color w:val="0F172A"/>
          <w:sz w:val="21"/>
          <w:szCs w:val="21"/>
        </w:rPr>
        <w:t xml:space="preserve">Custom Agents &amp; Tool Attachments</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while intelligently ignoring built-in 1P Google templates.</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w:t>
      </w:r>
      <w:r>
        <w:rPr>
          <w:rFonts w:ascii="Arial" w:cs="Arial" w:eastAsia="Arial" w:hAnsi="Arial"/>
          <w:color w:val="1E293B"/>
          <w:sz w:val="21"/>
          <w:szCs w:val="21"/>
        </w:rPr>
        <w:t xml:space="preserve">: Discovers and exports user preferences, role profiles, and learned memory facts.</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w:t>
      </w:r>
    </w:p>
    <w:p>
      <w:pPr>
        <w:spacing w:after="120" w:line="276"/>
      </w:pPr>
      <w:r>
        <w:rPr>
          <w:rFonts w:ascii="Arial" w:cs="Arial" w:eastAsia="Arial" w:hAnsi="Arial"/>
          <w:color w:val="1E293B"/>
          <w:sz w:val="21"/>
          <w:szCs w:val="21"/>
        </w:rPr>
        <w:t xml:space="preserve">Before executing a migration run, administrators should execute a Configuration Pre-Check to ensure that the target environment has all required feature toggles, security settings, and DataStores configured to support the migrated assets.</w:t>
      </w:r>
    </w:p>
    <w:p>
      <w:pPr>
        <w:pBdr>
          <w:left w:val="single" w:color="EA580C" w:sz="24" w:space="140"/>
        </w:pBdr>
        <w:shd w:fill="FFF7ED"/>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spacing w:after="120" w:line="276"/>
      </w:pPr>
      <w:r>
        <w:rPr>
          <w:rFonts w:ascii="Arial" w:cs="Arial" w:eastAsia="Arial" w:hAnsi="Arial"/>
          <w:color w:val="1E293B"/>
          <w:sz w:val="21"/>
          <w:szCs w:val="21"/>
        </w:rPr>
        <w:t xml:space="preserve">Navigate to the </w:t>
      </w:r>
      <w:r>
        <w:rPr>
          <w:rFonts w:ascii="Arial" w:cs="Arial" w:eastAsia="Arial" w:hAnsi="Arial"/>
          <w:b/>
          <w:bCs/>
          <w:color w:val="0F172A"/>
          <w:sz w:val="21"/>
          <w:szCs w:val="21"/>
        </w:rPr>
        <w:t xml:space="preserve">Config Pre-Check &amp; Gaps</w:t>
      </w:r>
      <w:r>
        <w:rPr>
          <w:rFonts w:ascii="Arial" w:cs="Arial" w:eastAsia="Arial" w:hAnsi="Arial"/>
          <w:color w:val="1E293B"/>
          <w:sz w:val="21"/>
          <w:szCs w:val="21"/>
        </w:rPr>
        <w:t xml:space="preserve"> tab on the left navigation bar and click </w:t>
      </w:r>
      <w:r>
        <w:rPr>
          <w:rFonts w:ascii="Arial" w:cs="Arial" w:eastAsia="Arial" w:hAnsi="Arial"/>
          <w:b/>
          <w:bCs/>
          <w:color w:val="0F172A"/>
          <w:sz w:val="21"/>
          <w:szCs w:val="21"/>
        </w:rPr>
        <w:t xml:space="preserve">Run Pre-Check</w:t>
      </w:r>
      <w:r>
        <w:rPr>
          <w:rFonts w:ascii="Arial" w:cs="Arial" w:eastAsia="Arial" w:hAnsi="Arial"/>
          <w:color w:val="1E293B"/>
          <w:sz w:val="21"/>
          <w:szCs w:val="21"/>
        </w:rPr>
        <w:t xml:space="preserve">. The system analyzes more than 100 configuration points and computes a </w:t>
      </w:r>
      <w:r>
        <w:rPr>
          <w:rFonts w:ascii="Arial" w:cs="Arial" w:eastAsia="Arial" w:hAnsi="Arial"/>
          <w:b/>
          <w:bCs/>
          <w:color w:val="0F172A"/>
          <w:sz w:val="21"/>
          <w:szCs w:val="21"/>
        </w:rPr>
        <w:t xml:space="preserve">Parity Readiness Score</w:t>
      </w:r>
      <w:r>
        <w:rPr>
          <w:rFonts w:ascii="Arial" w:cs="Arial" w:eastAsia="Arial" w:hAnsi="Arial"/>
          <w:color w:val="1E293B"/>
          <w:sz w:val="21"/>
          <w:szCs w:val="21"/>
        </w:rPr>
        <w:t xml:space="preserve"> (0–100%).</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tab, specify the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rPr>
        <w:t xml:space="preserve">ancient-sandbox-test-1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to tailor the migration scope: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Checkbox</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all attached PDFs, URLs, and YouTube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rPr>
              <w:t xml:space="preserve">.mp4</w:t>
            </w:r>
            <w:r>
              <w:rPr>
                <w:rFonts w:ascii="Arial" w:cs="Arial" w:eastAsia="Arial" w:hAnsi="Arial"/>
                <w:color w:val="1E293B"/>
                <w:sz w:val="21"/>
                <w:szCs w:val="21"/>
              </w:rPr>
              <w:t xml:space="preserv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and logging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Run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Simulate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 Migrates custom skills in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 Creates target agents as editable drafts with preserved system instructions.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 Backs up and migrates discovered user facts.</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1"/>
        <w:spacing w:after="140" w:before="360"/>
      </w:pPr>
      <w:r>
        <w:t xml:space="preserve">7. Migration Reports &amp; Reconciliation Auditing</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Heading1"/>
        <w:spacing w:after="140" w:before="360"/>
      </w:pPr>
      <w:r>
        <w:t xml:space="preserve">7. Migration Execution &amp; Live Streaming Telemetry</w:t>
      </w:r>
    </w:p>
    <w:p>
      <w:pPr>
        <w:spacing w:after="120" w:line="276"/>
      </w:pPr>
      <w:r>
        <w:rPr>
          <w:rFonts w:ascii="Arial" w:cs="Arial" w:eastAsia="Arial" w:hAnsi="Arial"/>
          <w:color w:val="1E293B"/>
          <w:sz w:val="21"/>
          <w:szCs w:val="21"/>
        </w:rPr>
        <w:t xml:space="preserve">Initiate migration from the web console or headless CLI. The console provides real-time Server-Sent Events (SSE) telemetry displaying live progress bars and itemized logs.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Real-Time SSE Migration Telemetry and Asset Progress Tracker</w:t>
      </w:r>
    </w:p>
    <w:p>
      <w:pPr>
        <w:pStyle w:val="Heading1"/>
        <w:spacing w:after="140" w:before="360"/>
      </w:pPr>
      <w:r>
        <w:t xml:space="preserve">8. User Handover Delivery &amp; Notification Engine</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Migration Handover Notification Received in Gmail with Attachments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Multi-Part Handover Thread with Partitioned Attachments in Gmail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User Handover &amp; Email Delivery Console Tab</w:t>
      </w:r>
    </w:p>
    <w:p>
      <w:pPr>
        <w:pStyle w:val="Heading1"/>
        <w:spacing w:after="140" w:before="360"/>
      </w:pPr>
      <w:r>
        <w:t xml:space="preserve">9. Auth &amp; Identity Provider Configuration Wizard (DWD &amp; WiF)</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Auth &amp; WiF Wizard</w:t>
      </w:r>
      <w:r>
        <w:rPr>
          <w:rFonts w:ascii="Arial" w:cs="Arial" w:eastAsia="Arial" w:hAnsi="Arial"/>
          <w:color w:val="1E293B"/>
          <w:sz w:val="21"/>
          <w:szCs w:val="21"/>
        </w:rPr>
        <w:t xml:space="preserve"> provides an interactive, guided interface to configure and test authentication protocols across Google Workspace and external Identity Providers (Microsoft Entra ID, Okta, Ping).</w:t>
      </w:r>
    </w:p>
    <w:p>
      <w:pPr>
        <w:pStyle w:val="Heading2"/>
        <w:spacing w:after="120" w:before="280"/>
      </w:pPr>
      <w:r>
        <w:t xml:space="preserve">9.1 Domain-Wide Delegation (DWD) &amp; Org Policy Inspection</w:t>
      </w:r>
    </w:p>
    <w:p>
      <w:pPr>
        <w:pStyle w:val="ListParagraph"/>
        <w:numPr>
          <w:ilvl w:val="0"/>
          <w:numId w:val="1"/>
        </w:numPr>
        <w:spacing w:after="60" w:line="260"/>
      </w:pPr>
      <w:r>
        <w:rPr>
          <w:rFonts w:ascii="Arial" w:cs="Arial" w:eastAsia="Arial" w:hAnsi="Arial"/>
          <w:b/>
          <w:bCs/>
          <w:color w:val="0F172A"/>
          <w:sz w:val="21"/>
          <w:szCs w:val="21"/>
        </w:rPr>
        <w:t xml:space="preserve">Check Org Policies</w:t>
      </w:r>
      <w:r>
        <w:rPr>
          <w:rFonts w:ascii="Arial" w:cs="Arial" w:eastAsia="Arial" w:hAnsi="Arial"/>
          <w:color w:val="1E293B"/>
          <w:sz w:val="21"/>
          <w:szCs w:val="21"/>
        </w:rPr>
        <w:t xml:space="preserve">: Performs live inspection of target project organization policies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iam.disableCrossProjectServiceAccountUsage</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Conflict Detection</w:t>
      </w:r>
      <w:r>
        <w:rPr>
          <w:rFonts w:ascii="Arial" w:cs="Arial" w:eastAsia="Arial" w:hAnsi="Arial"/>
          <w:color w:val="1E293B"/>
          <w:sz w:val="21"/>
          <w:szCs w:val="21"/>
        </w:rPr>
        <w:t xml:space="preserve">: If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is active, an alert banner warns the operator before executing CLI commands that creating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will fail.</w:t>
      </w:r>
    </w:p>
    <w:p>
      <w:pPr>
        <w:pStyle w:val="ListParagraph"/>
        <w:numPr>
          <w:ilvl w:val="0"/>
          <w:numId w:val="1"/>
        </w:numPr>
        <w:spacing w:after="60" w:line="260"/>
      </w:pPr>
      <w:r>
        <w:rPr>
          <w:rFonts w:ascii="Arial" w:cs="Arial" w:eastAsia="Arial" w:hAnsi="Arial"/>
          <w:b/>
          <w:bCs/>
          <w:color w:val="0F172A"/>
          <w:sz w:val="21"/>
          <w:szCs w:val="21"/>
        </w:rPr>
        <w:t xml:space="preserve">1-Click Project Override</w:t>
      </w:r>
      <w:r>
        <w:rPr>
          <w:rFonts w:ascii="Arial" w:cs="Arial" w:eastAsia="Arial" w:hAnsi="Arial"/>
          <w:color w:val="1E293B"/>
          <w:sz w:val="21"/>
          <w:szCs w:val="21"/>
        </w:rPr>
        <w:t xml:space="preserve">: Operators holding </w:t>
      </w:r>
      <w:r>
        <w:rPr>
          <w:rFonts w:ascii="Consolas" w:cs="Consolas" w:eastAsia="Consolas" w:hAnsi="Consolas"/>
          <w:color w:val="0F172A"/>
          <w:sz w:val="19"/>
          <w:szCs w:val="19"/>
          <w:shd w:fill="F1F5F9"/>
        </w:rPr>
        <w:t xml:space="preserve">roles/orgpolicy.policyAdmin</w:t>
      </w:r>
      <w:r>
        <w:rPr>
          <w:rFonts w:ascii="Arial" w:cs="Arial" w:eastAsia="Arial" w:hAnsi="Arial"/>
          <w:color w:val="1E293B"/>
          <w:sz w:val="21"/>
          <w:szCs w:val="21"/>
        </w:rPr>
        <w:t xml:space="preserve"> can click the 1-Click Project Override button to automatically apply a project-scoped exemption (</w:t>
      </w:r>
      <w:r>
        <w:rPr>
          <w:rFonts w:ascii="Consolas" w:cs="Consolas" w:eastAsia="Consolas" w:hAnsi="Consolas"/>
          <w:color w:val="0F172A"/>
          <w:sz w:val="19"/>
          <w:szCs w:val="19"/>
          <w:shd w:fill="F1F5F9"/>
        </w:rPr>
        <w:t xml:space="preserve">enforce: false</w:t>
      </w:r>
      <w:r>
        <w:rPr>
          <w:rFonts w:ascii="Arial" w:cs="Arial" w:eastAsia="Arial" w:hAnsi="Arial"/>
          <w:color w:val="1E293B"/>
          <w:sz w:val="21"/>
          <w:szCs w:val="21"/>
        </w:rPr>
        <w:t xml:space="preserve">) without modifying parent organizational policies.</w:t>
      </w:r>
    </w:p>
    <w:p>
      <w:pPr>
        <w:pStyle w:val="ListParagraph"/>
        <w:numPr>
          <w:ilvl w:val="0"/>
          <w:numId w:val="1"/>
        </w:numPr>
        <w:spacing w:after="60" w:line="260"/>
      </w:pPr>
      <w:r>
        <w:rPr>
          <w:rFonts w:ascii="Arial" w:cs="Arial" w:eastAsia="Arial" w:hAnsi="Arial"/>
          <w:b/>
          <w:bCs/>
          <w:color w:val="0F172A"/>
          <w:sz w:val="21"/>
          <w:szCs w:val="21"/>
        </w:rPr>
        <w:t xml:space="preserve">Live DWD Impersonation Test</w:t>
      </w:r>
      <w:r>
        <w:rPr>
          <w:rFonts w:ascii="Arial" w:cs="Arial" w:eastAsia="Arial" w:hAnsi="Arial"/>
          <w:color w:val="1E293B"/>
          <w:sz w:val="21"/>
          <w:szCs w:val="21"/>
        </w:rPr>
        <w:t xml:space="preserve">: Validates that minted user-scoped OAuth2 tokens function against Discovery Engine APIs.</w:t>
      </w:r>
    </w:p>
    <w:p>
      <w:pPr>
        <w:pStyle w:val="Heading2"/>
        <w:spacing w:after="120" w:before="280"/>
      </w:pPr>
      <w:r>
        <w:t xml:space="preserve">9.2 Workforce Identity Federation (WiF) — Keyless Enterprise Path</w:t>
      </w:r>
    </w:p>
    <w:p>
      <w:pPr>
        <w:pStyle w:val="ListParagraph"/>
        <w:numPr>
          <w:ilvl w:val="0"/>
          <w:numId w:val="1"/>
        </w:numPr>
        <w:spacing w:after="60" w:line="260"/>
      </w:pPr>
      <w:r>
        <w:rPr>
          <w:rFonts w:ascii="Arial" w:cs="Arial" w:eastAsia="Arial" w:hAnsi="Arial"/>
          <w:b/>
          <w:bCs/>
          <w:color w:val="0F172A"/>
          <w:sz w:val="21"/>
          <w:szCs w:val="21"/>
        </w:rPr>
        <w:t xml:space="preserve">Keyless Architecture</w:t>
      </w:r>
      <w:r>
        <w:rPr>
          <w:rFonts w:ascii="Arial" w:cs="Arial" w:eastAsia="Arial" w:hAnsi="Arial"/>
          <w:color w:val="1E293B"/>
          <w:sz w:val="21"/>
          <w:szCs w:val="21"/>
        </w:rPr>
        <w:t xml:space="preserve">: WiF exchanges external OIDC/SAML tokens with Google Cloud Security Token Service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to mint short-lived tokens and is </w:t>
      </w:r>
      <w:r>
        <w:rPr>
          <w:rFonts w:ascii="Arial" w:cs="Arial" w:eastAsia="Arial" w:hAnsi="Arial"/>
          <w:b/>
          <w:bCs/>
          <w:color w:val="0F172A"/>
          <w:sz w:val="21"/>
          <w:szCs w:val="21"/>
        </w:rPr>
        <w:t xml:space="preserve">100% exempt from `iam.disableServiceAccountKeyCreation`</w:t>
      </w:r>
      <w:r>
        <w:rPr>
          <w:rFonts w:ascii="Arial" w:cs="Arial" w:eastAsia="Arial" w:hAnsi="Arial"/>
          <w:color w:val="1E293B"/>
          <w:sz w:val="21"/>
          <w:szCs w:val="21"/>
        </w:rPr>
        <w:t xml:space="preserve"> and key upload policies.</w:t>
      </w:r>
    </w:p>
    <w:p>
      <w:pPr>
        <w:pStyle w:val="ListParagraph"/>
        <w:numPr>
          <w:ilvl w:val="0"/>
          <w:numId w:val="1"/>
        </w:numPr>
        <w:spacing w:after="60" w:line="260"/>
      </w:pPr>
      <w:r>
        <w:rPr>
          <w:rFonts w:ascii="Arial" w:cs="Arial" w:eastAsia="Arial" w:hAnsi="Arial"/>
          <w:b/>
          <w:bCs/>
          <w:color w:val="0F172A"/>
          <w:sz w:val="21"/>
          <w:szCs w:val="21"/>
        </w:rPr>
        <w:t xml:space="preserve">Domain Sharing Validation</w:t>
      </w:r>
      <w:r>
        <w:rPr>
          <w:rFonts w:ascii="Arial" w:cs="Arial" w:eastAsia="Arial" w:hAnsi="Arial"/>
          <w:color w:val="1E293B"/>
          <w:sz w:val="21"/>
          <w:szCs w:val="21"/>
        </w:rPr>
        <w:t xml:space="preserve">: Verifies that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 permits workforce pool principals (</w:t>
      </w:r>
      <w:r>
        <w:rPr>
          <w:rFonts w:ascii="Consolas" w:cs="Consolas" w:eastAsia="Consolas" w:hAnsi="Consolas"/>
          <w:color w:val="0F172A"/>
          <w:sz w:val="19"/>
          <w:szCs w:val="19"/>
          <w:shd w:fill="F1F5F9"/>
        </w:rPr>
        <w:t xml:space="preserve">is:principalSet://iam.googleapis.com/organizations/&lt;org-id&gt;</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Live GCP Verification</w:t>
      </w:r>
      <w:r>
        <w:rPr>
          <w:rFonts w:ascii="Arial" w:cs="Arial" w:eastAsia="Arial" w:hAnsi="Arial"/>
          <w:color w:val="1E293B"/>
          <w:sz w:val="21"/>
          <w:szCs w:val="21"/>
        </w:rPr>
        <w:t xml:space="preserve">: The Verify Live in GCP button tests workforce pools and OIDC providers directly in Google Cloud.</w:t>
      </w:r>
    </w:p>
    <w:p>
      <w:pPr>
        <w:pStyle w:val="Heading2"/>
        <w:spacing w:after="120" w:before="280"/>
      </w:pPr>
      <w:r>
        <w:t xml:space="preserve">9.3 Permissions &amp; Least-Privilege Auditor</w:t>
      </w:r>
    </w:p>
    <w:p>
      <w:pPr>
        <w:pStyle w:val="ListParagraph"/>
        <w:numPr>
          <w:ilvl w:val="0"/>
          <w:numId w:val="1"/>
        </w:numPr>
        <w:spacing w:after="60" w:line="260"/>
      </w:pPr>
      <w:r>
        <w:rPr>
          <w:rFonts w:ascii="Arial" w:cs="Arial" w:eastAsia="Arial" w:hAnsi="Arial"/>
          <w:color w:val="1E293B"/>
          <w:sz w:val="21"/>
          <w:szCs w:val="21"/>
        </w:rPr>
        <w:t xml:space="preserve">Evaluates Discovery Engine read/write scopes, NotebookLM source access, and Gmail API dispatch scopes.</w:t>
      </w:r>
    </w:p>
    <w:p>
      <w:pPr>
        <w:pStyle w:val="ListParagraph"/>
        <w:numPr>
          <w:ilvl w:val="0"/>
          <w:numId w:val="1"/>
        </w:numPr>
        <w:spacing w:after="60" w:line="260"/>
      </w:pPr>
      <w:r>
        <w:rPr>
          <w:rFonts w:ascii="Arial" w:cs="Arial" w:eastAsia="Arial" w:hAnsi="Arial"/>
          <w:color w:val="1E293B"/>
          <w:sz w:val="21"/>
          <w:szCs w:val="21"/>
        </w:rPr>
        <w:t xml:space="preserve">Flags over-provisioned permissions or destructive deletion privileges.</w:t>
      </w:r>
    </w:p>
    <w:p>
      <w:pPr>
        <w:pStyle w:val="ListParagraph"/>
        <w:numPr>
          <w:ilvl w:val="0"/>
          <w:numId w:val="1"/>
        </w:numPr>
        <w:spacing w:after="60" w:line="260"/>
      </w:pPr>
      <w:r>
        <w:rPr>
          <w:rFonts w:ascii="Arial" w:cs="Arial" w:eastAsia="Arial" w:hAnsi="Arial"/>
          <w:color w:val="1E293B"/>
          <w:sz w:val="21"/>
          <w:szCs w:val="21"/>
        </w:rPr>
        <w:t xml:space="preserve">Runs automated organization policy compliance audits on the target project.</w:t>
      </w:r>
    </w:p>
    <w:p>
      <w:pPr>
        <w:pStyle w:val="ListParagraph"/>
        <w:numPr>
          <w:ilvl w:val="0"/>
          <w:numId w:val="1"/>
        </w:numPr>
        <w:spacing w:after="60" w:line="260"/>
      </w:pPr>
      <w:r>
        <w:rPr>
          <w:rFonts w:ascii="Arial" w:cs="Arial" w:eastAsia="Arial" w:hAnsi="Arial"/>
          <w:color w:val="1E293B"/>
          <w:sz w:val="21"/>
          <w:szCs w:val="21"/>
        </w:rPr>
        <w:t xml:space="preserve">Offers 1-click IAM policy bindings auto-fixes for missing roles.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2.10: Auth &amp; Identity Provider Configuration Wizard with Org Policy Pre-Flight</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The Target Maintenance console provides two distinct operational flows: resetting assets between test iterations, or performing a complete teardown of the migration app:</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Selectively cleans migrated assets in the target environment prior to fresh migration runs without disturbing authentication or GCP infrastructure: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User Memories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Purges personalized user facts &amp; memory profiles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Cleans personalization state across all target user scopes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exports/artifacts/</w:t>
            </w:r>
            <w:r>
              <w:rPr>
                <w:rFonts w:ascii="Arial" w:cs="Arial" w:eastAsia="Arial" w:hAnsi="Arial"/>
                <w:color w:val="1E293B"/>
                <w:sz w:val="21"/>
                <w:szCs w:val="21"/>
              </w:rPr>
              <w:t xml:space="preserve"> folder on local disk</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 folder on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 and handover bundles</w:t>
            </w:r>
          </w:p>
        </w:tc>
      </w:tr>
    </w:tbl>
    <w:p>
      <w:pPr>
        <w:spacing w:after="160"/>
      </w:pP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Performs a complete application uninstall and restores your Google Cloud project and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inherited parent default.</w:t>
      </w:r>
    </w:p>
    <w:p>
      <w:pPr>
        <w:pStyle w:val="ListParagraph"/>
        <w:numPr>
          <w:ilvl w:val="0"/>
          <w:numId w:val="1"/>
        </w:numPr>
        <w:spacing w:after="60" w:line="260"/>
      </w:pPr>
      <w:r>
        <w:rPr>
          <w:rFonts w:ascii="Arial" w:cs="Arial" w:eastAsia="Arial" w:hAnsi="Arial"/>
          <w:color w:val="1E293B"/>
          <w:sz w:val="21"/>
          <w:szCs w:val="21"/>
        </w:rPr>
        <w:t xml:space="preserve">Delete Service Account &amp; Strip IAM Roles: Revokes discoveryengine.admin, serviceUsageConsumer, and deletes the service account.</w:t>
      </w:r>
    </w:p>
    <w:p>
      <w:pPr>
        <w:pStyle w:val="ListParagraph"/>
        <w:numPr>
          <w:ilvl w:val="0"/>
          <w:numId w:val="1"/>
        </w:numPr>
        <w:spacing w:after="60" w:line="260"/>
      </w:pPr>
      <w:r>
        <w:rPr>
          <w:rFonts w:ascii="Arial" w:cs="Arial" w:eastAsia="Arial" w:hAnsi="Arial"/>
          <w:color w:val="1E293B"/>
          <w:sz w:val="21"/>
          <w:szCs w:val="21"/>
        </w:rPr>
        <w:t xml:space="preserve">Invalidate Domain-Wide Delegation (DWD): Permanently revokes token minting in GCP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Local Folders: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Execution: gemini-migrate decommission --project &lt;TARGET_PROJECT_ID&gt; --confirm &lt;TARGET_PROJECT_ID&gt;</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Audits cloud and local baseline state across 7 security dimensions. Automatically runs after decommissioning or can be triggered on demand via Web Console ("Verify Rollback State"), Headless CLI (gemini-migrate verify-rollback --project &lt;ID&gt;), or REST API.</w:t>
      </w:r>
    </w:p>
    <w:p>
      <w:pPr>
        <w:pStyle w:val="ListParagraph"/>
        <w:numPr>
          <w:ilvl w:val="0"/>
          <w:numId w:val="1"/>
        </w:numPr>
        <w:spacing w:after="60" w:line="260"/>
      </w:pPr>
      <w:r>
        <w:rPr>
          <w:rFonts w:ascii="Arial" w:cs="Arial" w:eastAsia="Arial" w:hAnsi="Arial"/>
          <w:color w:val="1E293B"/>
          <w:sz w:val="21"/>
          <w:szCs w:val="21"/>
        </w:rPr>
        <w:t xml:space="preserve">Web Console: Tab 6 (Card 2) "Verify Rollback State" button with live audit checklist.</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Target Maintenance &amp; Platform Decommissioning Console</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Open the Auth &amp; WiF Wizard and run Check Org Policies to verify that target project policies permit credential provisioning or apply 1-click project overrides.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14.  </w:t>
      </w:r>
      <w:r>
        <w:rPr>
          <w:rFonts w:ascii="Arial" w:cs="Arial" w:eastAsia="Arial" w:hAnsi="Arial"/>
          <w:color w:val="1E293B"/>
          <w:sz w:val="21"/>
          <w:szCs w:val="21"/>
        </w:rPr>
        <w:t xml:space="preserve">Archive final migration reports for compliance records.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bc39fe155035f8ec4e94c5c0197368b6c227f7fb.png"/><Relationship Id="rId14" Type="http://schemas.openxmlformats.org/officeDocument/2006/relationships/image" Target="media/a2535ce2694b1d9bd14484a0c05d5d1f1002a983.png"/><Relationship Id="rId15" Type="http://schemas.openxmlformats.org/officeDocument/2006/relationships/image" Target="media/346625f76f156e014be82bda5ffdb7f966bd6b4a.png"/><Relationship Id="rId16" Type="http://schemas.openxmlformats.org/officeDocument/2006/relationships/image" Target="media/27ee2a0fd10c0611da71267dd37636522e8d468a.png"/><Relationship Id="rId17" Type="http://schemas.openxmlformats.org/officeDocument/2006/relationships/image" Target="media/2c42efabae59ea5c0e10aecb3c7c61b8fd9382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2026-09-09T17:08:50.046Z</dcterms:created>
  <dcterms:modified xsi:type="dcterms:W3CDTF">2026-09-09T17:08:50.046Z</dcterms:modified>
</cp:coreProperties>
</file>

<file path=docProps/custom.xml><?xml version="1.0" encoding="utf-8"?>
<Properties xmlns="http://schemas.openxmlformats.org/officeDocument/2006/custom-properties" xmlns:vt="http://schemas.openxmlformats.org/officeDocument/2006/docPropsVTypes"/>
</file>